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CBD7D5">
      <w:pPr>
        <w:spacing w:line="360" w:lineRule="auto"/>
        <w:jc w:val="center"/>
        <w:rPr>
          <w:rFonts w:ascii="宋体"/>
          <w:b/>
          <w:bCs/>
          <w:sz w:val="44"/>
          <w:szCs w:val="44"/>
        </w:rPr>
      </w:pPr>
    </w:p>
    <w:p w14:paraId="6623EE87">
      <w:pPr>
        <w:spacing w:line="360" w:lineRule="auto"/>
        <w:jc w:val="center"/>
        <w:rPr>
          <w:rFonts w:ascii="宋体"/>
          <w:b/>
          <w:bCs/>
          <w:sz w:val="44"/>
          <w:szCs w:val="44"/>
        </w:rPr>
      </w:pPr>
    </w:p>
    <w:p w14:paraId="0B829D51">
      <w:pPr>
        <w:spacing w:line="360" w:lineRule="auto"/>
        <w:jc w:val="center"/>
        <w:rPr>
          <w:rFonts w:ascii="宋体"/>
          <w:b/>
          <w:bCs/>
          <w:sz w:val="44"/>
          <w:szCs w:val="44"/>
        </w:rPr>
      </w:pPr>
    </w:p>
    <w:p w14:paraId="2CD9F1F6">
      <w:pPr>
        <w:spacing w:line="360" w:lineRule="auto"/>
        <w:jc w:val="center"/>
        <w:rPr>
          <w:rFonts w:ascii="宋体"/>
          <w:b/>
          <w:bCs/>
          <w:sz w:val="44"/>
          <w:szCs w:val="44"/>
        </w:rPr>
      </w:pPr>
    </w:p>
    <w:p w14:paraId="4024336C">
      <w:pPr>
        <w:spacing w:line="360" w:lineRule="auto"/>
        <w:jc w:val="center"/>
        <w:rPr>
          <w:rFonts w:ascii="宋体"/>
          <w:b/>
          <w:bCs/>
          <w:color w:val="000000"/>
          <w:sz w:val="36"/>
          <w:szCs w:val="36"/>
          <w:u w:val="single"/>
        </w:rPr>
      </w:pPr>
      <w:r>
        <w:rPr>
          <w:rFonts w:hint="eastAsia" w:ascii="宋体" w:hAnsi="宋体"/>
          <w:b/>
          <w:bCs/>
          <w:color w:val="000000"/>
          <w:sz w:val="36"/>
          <w:szCs w:val="36"/>
          <w:u w:val="single"/>
        </w:rPr>
        <w:t>重庆应用技术职业学院</w:t>
      </w:r>
    </w:p>
    <w:p w14:paraId="47D593E5">
      <w:pPr>
        <w:spacing w:line="360" w:lineRule="auto"/>
        <w:jc w:val="center"/>
        <w:rPr>
          <w:b/>
          <w:sz w:val="36"/>
          <w:szCs w:val="36"/>
        </w:rPr>
      </w:pPr>
      <w:bookmarkStart w:id="0" w:name="_Hlk213868199"/>
      <w:r>
        <w:rPr>
          <w:rFonts w:hint="eastAsia"/>
          <w:b/>
          <w:sz w:val="36"/>
          <w:szCs w:val="36"/>
        </w:rPr>
        <w:t>“人工智能+”课程建设</w:t>
      </w:r>
      <w:bookmarkEnd w:id="0"/>
      <w:r>
        <w:rPr>
          <w:rFonts w:hint="eastAsia"/>
          <w:b/>
          <w:sz w:val="36"/>
          <w:szCs w:val="36"/>
        </w:rPr>
        <w:t>采购项目</w:t>
      </w:r>
    </w:p>
    <w:p w14:paraId="679793FA">
      <w:pPr>
        <w:spacing w:line="360" w:lineRule="auto"/>
        <w:jc w:val="center"/>
        <w:rPr>
          <w:rFonts w:ascii="宋体"/>
          <w:b/>
          <w:bCs/>
          <w:sz w:val="36"/>
          <w:szCs w:val="36"/>
        </w:rPr>
      </w:pPr>
      <w:r>
        <w:rPr>
          <w:rFonts w:hint="eastAsia"/>
          <w:b/>
          <w:sz w:val="36"/>
          <w:szCs w:val="36"/>
        </w:rPr>
        <w:t>竞争性谈判文件</w:t>
      </w:r>
    </w:p>
    <w:p w14:paraId="3D14CB37">
      <w:pPr>
        <w:spacing w:line="360" w:lineRule="auto"/>
        <w:jc w:val="center"/>
        <w:rPr>
          <w:rFonts w:ascii="华文仿宋" w:hAnsi="华文仿宋" w:eastAsia="华文仿宋"/>
          <w:b/>
          <w:color w:val="FF0000"/>
          <w:sz w:val="32"/>
          <w:szCs w:val="32"/>
        </w:rPr>
      </w:pPr>
    </w:p>
    <w:p w14:paraId="61C4DE50">
      <w:pPr>
        <w:spacing w:line="360" w:lineRule="auto"/>
        <w:ind w:left="481" w:leftChars="229" w:firstLine="72" w:firstLineChars="20"/>
        <w:jc w:val="center"/>
        <w:rPr>
          <w:rFonts w:ascii="宋体"/>
          <w:b/>
          <w:spacing w:val="20"/>
          <w:sz w:val="32"/>
          <w:szCs w:val="32"/>
        </w:rPr>
      </w:pPr>
    </w:p>
    <w:p w14:paraId="58917B07">
      <w:pPr>
        <w:spacing w:line="360" w:lineRule="auto"/>
        <w:ind w:left="481" w:leftChars="229" w:firstLine="72" w:firstLineChars="20"/>
        <w:jc w:val="center"/>
        <w:rPr>
          <w:rFonts w:ascii="宋体"/>
          <w:b/>
          <w:spacing w:val="20"/>
          <w:sz w:val="32"/>
          <w:szCs w:val="32"/>
        </w:rPr>
      </w:pPr>
    </w:p>
    <w:p w14:paraId="60299ED2">
      <w:pPr>
        <w:spacing w:line="360" w:lineRule="auto"/>
        <w:ind w:left="481" w:leftChars="229" w:firstLine="72" w:firstLineChars="20"/>
        <w:jc w:val="center"/>
        <w:rPr>
          <w:rFonts w:ascii="宋体"/>
          <w:b/>
          <w:spacing w:val="20"/>
          <w:sz w:val="32"/>
          <w:szCs w:val="32"/>
        </w:rPr>
      </w:pPr>
    </w:p>
    <w:p w14:paraId="37BED1FB">
      <w:pPr>
        <w:spacing w:line="360" w:lineRule="auto"/>
        <w:ind w:left="481" w:leftChars="229" w:firstLine="72" w:firstLineChars="20"/>
        <w:jc w:val="center"/>
        <w:rPr>
          <w:rFonts w:ascii="宋体"/>
          <w:b/>
          <w:spacing w:val="20"/>
          <w:sz w:val="32"/>
          <w:szCs w:val="32"/>
        </w:rPr>
      </w:pPr>
    </w:p>
    <w:p w14:paraId="2E8A4F0B">
      <w:pPr>
        <w:spacing w:line="360" w:lineRule="auto"/>
        <w:ind w:left="481" w:leftChars="229" w:firstLine="72" w:firstLineChars="20"/>
        <w:jc w:val="center"/>
        <w:rPr>
          <w:rFonts w:ascii="宋体"/>
          <w:b/>
          <w:spacing w:val="20"/>
          <w:sz w:val="32"/>
          <w:szCs w:val="32"/>
        </w:rPr>
      </w:pPr>
    </w:p>
    <w:p w14:paraId="0B073011">
      <w:pPr>
        <w:spacing w:line="360" w:lineRule="auto"/>
        <w:ind w:left="481" w:leftChars="229" w:firstLine="72" w:firstLineChars="20"/>
        <w:jc w:val="center"/>
        <w:rPr>
          <w:rFonts w:ascii="宋体"/>
          <w:b/>
          <w:spacing w:val="20"/>
          <w:sz w:val="32"/>
          <w:szCs w:val="32"/>
        </w:rPr>
      </w:pPr>
    </w:p>
    <w:p w14:paraId="2DCBB233">
      <w:pPr>
        <w:spacing w:line="360" w:lineRule="auto"/>
        <w:ind w:left="481" w:leftChars="229" w:firstLine="72" w:firstLineChars="20"/>
        <w:jc w:val="center"/>
        <w:rPr>
          <w:rFonts w:ascii="宋体"/>
          <w:b/>
          <w:spacing w:val="20"/>
          <w:sz w:val="32"/>
          <w:szCs w:val="32"/>
        </w:rPr>
      </w:pPr>
    </w:p>
    <w:p w14:paraId="7A8026F1">
      <w:pPr>
        <w:spacing w:line="360" w:lineRule="auto"/>
        <w:ind w:left="481" w:leftChars="229" w:firstLine="72" w:firstLineChars="20"/>
        <w:jc w:val="center"/>
        <w:rPr>
          <w:rFonts w:ascii="宋体"/>
          <w:b/>
          <w:spacing w:val="20"/>
          <w:sz w:val="32"/>
          <w:szCs w:val="32"/>
        </w:rPr>
      </w:pPr>
    </w:p>
    <w:p w14:paraId="2162D248">
      <w:pPr>
        <w:spacing w:line="360" w:lineRule="auto"/>
        <w:ind w:left="481" w:leftChars="229" w:firstLine="72" w:firstLineChars="20"/>
        <w:jc w:val="center"/>
        <w:rPr>
          <w:rFonts w:ascii="宋体"/>
          <w:b/>
          <w:spacing w:val="20"/>
          <w:sz w:val="32"/>
          <w:szCs w:val="32"/>
        </w:rPr>
      </w:pPr>
    </w:p>
    <w:p w14:paraId="6729C8D4">
      <w:pPr>
        <w:spacing w:line="360" w:lineRule="auto"/>
        <w:rPr>
          <w:rFonts w:ascii="宋体"/>
          <w:b/>
          <w:spacing w:val="20"/>
          <w:sz w:val="32"/>
          <w:szCs w:val="32"/>
        </w:rPr>
      </w:pPr>
    </w:p>
    <w:p w14:paraId="490A6174">
      <w:pPr>
        <w:spacing w:line="360" w:lineRule="auto"/>
        <w:ind w:left="481" w:leftChars="229" w:firstLine="72" w:firstLineChars="20"/>
        <w:jc w:val="center"/>
        <w:rPr>
          <w:rFonts w:ascii="宋体"/>
          <w:b/>
          <w:spacing w:val="20"/>
          <w:sz w:val="32"/>
          <w:szCs w:val="32"/>
        </w:rPr>
      </w:pPr>
    </w:p>
    <w:p w14:paraId="2E498352">
      <w:pPr>
        <w:spacing w:line="360" w:lineRule="auto"/>
        <w:ind w:left="481" w:leftChars="229" w:firstLine="72" w:firstLineChars="20"/>
        <w:jc w:val="center"/>
        <w:rPr>
          <w:rFonts w:ascii="宋体"/>
          <w:b/>
          <w:color w:val="000000"/>
          <w:spacing w:val="20"/>
          <w:sz w:val="32"/>
          <w:szCs w:val="32"/>
        </w:rPr>
      </w:pPr>
      <w:r>
        <w:rPr>
          <w:rFonts w:hint="eastAsia" w:ascii="宋体" w:hAnsi="宋体"/>
          <w:b/>
          <w:color w:val="000000"/>
          <w:spacing w:val="20"/>
          <w:sz w:val="32"/>
          <w:szCs w:val="32"/>
          <w:u w:val="single"/>
        </w:rPr>
        <w:t>重庆应用技术职业学院</w:t>
      </w:r>
      <w:r>
        <w:rPr>
          <w:rFonts w:hint="eastAsia" w:ascii="宋体" w:hAnsi="宋体"/>
          <w:b/>
          <w:color w:val="000000"/>
          <w:spacing w:val="20"/>
          <w:sz w:val="32"/>
          <w:szCs w:val="32"/>
        </w:rPr>
        <w:t>制</w:t>
      </w:r>
    </w:p>
    <w:p w14:paraId="553FB502">
      <w:pPr>
        <w:spacing w:line="360" w:lineRule="auto"/>
        <w:jc w:val="center"/>
        <w:rPr>
          <w:sz w:val="28"/>
          <w:szCs w:val="28"/>
        </w:rPr>
      </w:pPr>
      <w:r>
        <w:rPr>
          <w:sz w:val="28"/>
          <w:szCs w:val="28"/>
        </w:rPr>
        <w:t xml:space="preserve">   202</w:t>
      </w:r>
      <w:r>
        <w:rPr>
          <w:rFonts w:hint="eastAsia"/>
          <w:sz w:val="28"/>
          <w:szCs w:val="28"/>
          <w:lang w:val="en-US" w:eastAsia="zh-CN"/>
        </w:rPr>
        <w:t>6</w:t>
      </w:r>
      <w:r>
        <w:rPr>
          <w:rFonts w:hint="eastAsia"/>
          <w:sz w:val="28"/>
          <w:szCs w:val="28"/>
        </w:rPr>
        <w:t>年</w:t>
      </w:r>
      <w:r>
        <w:rPr>
          <w:rFonts w:hint="eastAsia"/>
          <w:sz w:val="28"/>
          <w:szCs w:val="28"/>
          <w:lang w:val="en-US" w:eastAsia="zh-CN"/>
        </w:rPr>
        <w:t>3</w:t>
      </w:r>
      <w:r>
        <w:rPr>
          <w:rFonts w:hint="eastAsia"/>
          <w:sz w:val="28"/>
          <w:szCs w:val="28"/>
        </w:rPr>
        <w:t>月</w:t>
      </w:r>
      <w:r>
        <w:rPr>
          <w:rFonts w:hint="eastAsia"/>
          <w:sz w:val="28"/>
          <w:szCs w:val="28"/>
          <w:lang w:val="en-US" w:eastAsia="zh-CN"/>
        </w:rPr>
        <w:t>5</w:t>
      </w:r>
      <w:r>
        <w:rPr>
          <w:rFonts w:hint="eastAsia"/>
          <w:sz w:val="28"/>
          <w:szCs w:val="28"/>
        </w:rPr>
        <w:t>日</w:t>
      </w:r>
    </w:p>
    <w:p w14:paraId="080FEDDD">
      <w:pPr>
        <w:spacing w:line="360" w:lineRule="auto"/>
        <w:jc w:val="center"/>
        <w:rPr>
          <w:rFonts w:ascii="宋体"/>
          <w:b/>
          <w:sz w:val="28"/>
          <w:szCs w:val="28"/>
        </w:rPr>
      </w:pPr>
    </w:p>
    <w:p w14:paraId="6624EC7B">
      <w:pPr>
        <w:spacing w:line="360" w:lineRule="auto"/>
        <w:jc w:val="center"/>
        <w:rPr>
          <w:rFonts w:ascii="宋体"/>
          <w:b/>
          <w:sz w:val="28"/>
          <w:szCs w:val="28"/>
        </w:rPr>
      </w:pPr>
    </w:p>
    <w:p w14:paraId="3191298A">
      <w:pPr>
        <w:spacing w:line="360" w:lineRule="auto"/>
        <w:jc w:val="center"/>
        <w:rPr>
          <w:rFonts w:ascii="宋体"/>
          <w:b/>
          <w:sz w:val="28"/>
          <w:szCs w:val="28"/>
        </w:rPr>
      </w:pPr>
    </w:p>
    <w:p w14:paraId="28F35A77">
      <w:pPr>
        <w:spacing w:line="360" w:lineRule="auto"/>
        <w:jc w:val="center"/>
        <w:rPr>
          <w:rFonts w:ascii="宋体"/>
          <w:b/>
          <w:bCs/>
          <w:sz w:val="32"/>
          <w:szCs w:val="32"/>
        </w:rPr>
      </w:pPr>
      <w:r>
        <w:rPr>
          <w:rFonts w:hint="eastAsia" w:ascii="宋体" w:hAnsi="宋体"/>
          <w:b/>
          <w:bCs/>
          <w:sz w:val="32"/>
          <w:szCs w:val="32"/>
        </w:rPr>
        <w:t>第一部分谈判项目书</w:t>
      </w:r>
    </w:p>
    <w:p w14:paraId="1AE25E13">
      <w:pPr>
        <w:spacing w:line="360" w:lineRule="auto"/>
        <w:rPr>
          <w:rFonts w:ascii="宋体"/>
          <w:b/>
          <w:bCs/>
          <w:sz w:val="28"/>
          <w:szCs w:val="28"/>
        </w:rPr>
      </w:pPr>
    </w:p>
    <w:p w14:paraId="3EA0C723">
      <w:pPr>
        <w:spacing w:line="360" w:lineRule="auto"/>
        <w:ind w:firstLine="562" w:firstLineChars="200"/>
        <w:rPr>
          <w:rFonts w:hint="eastAsia" w:ascii="宋体" w:hAnsi="宋体"/>
          <w:b/>
          <w:bCs/>
          <w:sz w:val="28"/>
          <w:szCs w:val="28"/>
        </w:rPr>
      </w:pPr>
      <w:r>
        <w:rPr>
          <w:rFonts w:hint="eastAsia" w:ascii="宋体" w:hAnsi="宋体"/>
          <w:b/>
          <w:bCs/>
          <w:sz w:val="28"/>
          <w:szCs w:val="28"/>
          <w:lang w:eastAsia="zh-CN"/>
        </w:rPr>
        <w:t>一、</w:t>
      </w:r>
      <w:r>
        <w:rPr>
          <w:rFonts w:hint="eastAsia" w:ascii="宋体" w:hAnsi="宋体"/>
          <w:b/>
          <w:bCs/>
          <w:sz w:val="28"/>
          <w:szCs w:val="28"/>
        </w:rPr>
        <w:t>项目名称及编号：</w:t>
      </w:r>
    </w:p>
    <w:p w14:paraId="16553677">
      <w:pPr>
        <w:spacing w:line="360" w:lineRule="auto"/>
        <w:ind w:firstLine="562" w:firstLineChars="200"/>
        <w:rPr>
          <w:rFonts w:hint="default" w:ascii="宋体" w:eastAsia="宋体"/>
          <w:b/>
          <w:bCs/>
          <w:sz w:val="28"/>
          <w:szCs w:val="28"/>
          <w:lang w:val="en-US" w:eastAsia="zh-CN"/>
        </w:rPr>
      </w:pPr>
      <w:r>
        <w:rPr>
          <w:rFonts w:hint="eastAsia"/>
          <w:b/>
          <w:sz w:val="28"/>
          <w:szCs w:val="28"/>
        </w:rPr>
        <w:t>“人工智能+”课程建设</w:t>
      </w:r>
      <w:r>
        <w:rPr>
          <w:rFonts w:hint="eastAsia"/>
          <w:b/>
          <w:sz w:val="28"/>
          <w:szCs w:val="28"/>
          <w:lang w:val="en-US" w:eastAsia="zh-CN"/>
        </w:rPr>
        <w:t xml:space="preserve">     </w:t>
      </w:r>
      <w:r>
        <w:rPr>
          <w:rFonts w:hint="eastAsia" w:ascii="宋体" w:hAnsi="宋体"/>
          <w:color w:val="000000"/>
          <w:sz w:val="32"/>
          <w:szCs w:val="32"/>
        </w:rPr>
        <w:t>2025-X0</w:t>
      </w:r>
      <w:r>
        <w:rPr>
          <w:rFonts w:hint="eastAsia" w:ascii="宋体" w:hAnsi="宋体"/>
          <w:color w:val="000000"/>
          <w:sz w:val="32"/>
          <w:szCs w:val="32"/>
          <w:lang w:val="en-US" w:eastAsia="zh-CN"/>
        </w:rPr>
        <w:t>14</w:t>
      </w:r>
    </w:p>
    <w:p w14:paraId="0E58A8EB">
      <w:pPr>
        <w:ind w:firstLine="562" w:firstLineChars="200"/>
        <w:rPr>
          <w:rFonts w:ascii="宋体"/>
          <w:sz w:val="28"/>
          <w:szCs w:val="28"/>
        </w:rPr>
      </w:pPr>
      <w:r>
        <w:rPr>
          <w:rFonts w:hint="eastAsia" w:ascii="宋体" w:hAnsi="宋体"/>
          <w:b/>
          <w:bCs/>
          <w:sz w:val="28"/>
          <w:szCs w:val="28"/>
        </w:rPr>
        <w:t>二、资格要求：</w:t>
      </w:r>
    </w:p>
    <w:p w14:paraId="4A9BC288">
      <w:pPr>
        <w:pStyle w:val="57"/>
        <w:numPr>
          <w:ilvl w:val="0"/>
          <w:numId w:val="0"/>
        </w:numPr>
        <w:ind w:leftChars="0" w:firstLine="560" w:firstLineChars="200"/>
        <w:rPr>
          <w:rFonts w:hint="eastAsia" w:ascii="宋体" w:hAnsi="宋体"/>
          <w:sz w:val="28"/>
          <w:szCs w:val="28"/>
          <w:lang w:val="en-US" w:eastAsia="zh-CN"/>
        </w:rPr>
      </w:pPr>
      <w:r>
        <w:rPr>
          <w:rFonts w:hint="eastAsia" w:ascii="宋体" w:hAnsi="宋体"/>
          <w:sz w:val="28"/>
          <w:szCs w:val="28"/>
        </w:rPr>
        <w:t>1. 须具有独立法人资格，具有独立承担民事责任的能力，具备合法有效的营业执照并通过年审。经营范围包含</w:t>
      </w:r>
      <w:r>
        <w:rPr>
          <w:rFonts w:hint="eastAsia" w:ascii="宋体" w:hAnsi="宋体"/>
          <w:sz w:val="28"/>
          <w:szCs w:val="28"/>
          <w:lang w:val="en-US" w:eastAsia="zh-CN"/>
        </w:rPr>
        <w:t>计算机软硬件、智能控制系统集成、配电开关控制设备销售、信息系统集成服务、安全系统监控服务、电子产品销售、网络设备销售。</w:t>
      </w:r>
    </w:p>
    <w:p w14:paraId="2AC1004E">
      <w:pPr>
        <w:adjustRightInd w:val="0"/>
        <w:snapToGrid w:val="0"/>
        <w:spacing w:line="360" w:lineRule="auto"/>
        <w:ind w:firstLine="560" w:firstLineChars="200"/>
        <w:rPr>
          <w:rFonts w:ascii="宋体" w:hAnsi="宋体"/>
          <w:sz w:val="28"/>
          <w:szCs w:val="28"/>
        </w:rPr>
      </w:pPr>
      <w:r>
        <w:rPr>
          <w:rFonts w:hint="eastAsia" w:ascii="宋体" w:hAnsi="宋体"/>
          <w:sz w:val="28"/>
          <w:szCs w:val="28"/>
        </w:rPr>
        <w:t>2.在重庆地区拥有固定的经营场所或售后服务常驻机构。</w:t>
      </w:r>
    </w:p>
    <w:p w14:paraId="49356D1A">
      <w:pPr>
        <w:adjustRightInd w:val="0"/>
        <w:snapToGrid w:val="0"/>
        <w:spacing w:line="360" w:lineRule="auto"/>
        <w:ind w:firstLine="565" w:firstLineChars="202"/>
        <w:rPr>
          <w:rFonts w:ascii="宋体" w:hAnsi="宋体"/>
          <w:sz w:val="28"/>
          <w:szCs w:val="28"/>
        </w:rPr>
      </w:pPr>
      <w:r>
        <w:rPr>
          <w:rFonts w:hint="eastAsia" w:ascii="宋体" w:hAnsi="宋体"/>
          <w:sz w:val="28"/>
          <w:szCs w:val="28"/>
        </w:rPr>
        <w:t>3.具有良好的商业信誉、健全的财务会计制度和完善的售后服务体系。</w:t>
      </w:r>
    </w:p>
    <w:p w14:paraId="21A76433">
      <w:pPr>
        <w:adjustRightInd w:val="0"/>
        <w:snapToGrid w:val="0"/>
        <w:spacing w:line="360" w:lineRule="auto"/>
        <w:ind w:firstLine="565" w:firstLineChars="202"/>
        <w:rPr>
          <w:rFonts w:ascii="宋体" w:hAnsi="宋体"/>
          <w:sz w:val="28"/>
          <w:szCs w:val="28"/>
        </w:rPr>
      </w:pPr>
      <w:r>
        <w:rPr>
          <w:rFonts w:hint="eastAsia" w:ascii="宋体" w:hAnsi="宋体"/>
          <w:sz w:val="28"/>
          <w:szCs w:val="28"/>
        </w:rPr>
        <w:t>4.确保能够提供符合要求的合格产品，有稳定、强有力的技术维护队伍，能够提供及时、良好的售后服务。</w:t>
      </w:r>
    </w:p>
    <w:p w14:paraId="2DBBC5A1">
      <w:pPr>
        <w:ind w:firstLine="565" w:firstLineChars="202"/>
        <w:rPr>
          <w:rFonts w:ascii="宋体" w:hAnsi="宋体"/>
          <w:sz w:val="28"/>
          <w:szCs w:val="28"/>
        </w:rPr>
      </w:pPr>
      <w:r>
        <w:rPr>
          <w:rFonts w:hint="eastAsia" w:ascii="宋体" w:hAnsi="宋体"/>
          <w:sz w:val="28"/>
          <w:szCs w:val="28"/>
        </w:rPr>
        <w:t>5. 近三年内无行政处罚及重大违法违规记录。</w:t>
      </w:r>
    </w:p>
    <w:p w14:paraId="179987CF">
      <w:pPr>
        <w:spacing w:line="360" w:lineRule="auto"/>
        <w:ind w:firstLine="565" w:firstLineChars="201"/>
        <w:rPr>
          <w:rFonts w:ascii="宋体"/>
          <w:b/>
          <w:bCs/>
          <w:sz w:val="28"/>
          <w:szCs w:val="28"/>
        </w:rPr>
      </w:pPr>
      <w:r>
        <w:rPr>
          <w:rFonts w:hint="eastAsia" w:ascii="宋体" w:hAnsi="宋体"/>
          <w:b/>
          <w:bCs/>
          <w:sz w:val="28"/>
          <w:szCs w:val="28"/>
        </w:rPr>
        <w:t>三、产品质量及服务要求：</w:t>
      </w:r>
    </w:p>
    <w:p w14:paraId="77FBCD43">
      <w:pPr>
        <w:ind w:firstLine="565" w:firstLineChars="202"/>
        <w:rPr>
          <w:sz w:val="28"/>
          <w:szCs w:val="28"/>
        </w:rPr>
      </w:pPr>
      <w:r>
        <w:rPr>
          <w:sz w:val="28"/>
          <w:szCs w:val="28"/>
        </w:rPr>
        <w:t>1.</w:t>
      </w:r>
      <w:r>
        <w:rPr>
          <w:rFonts w:hint="eastAsia"/>
          <w:sz w:val="28"/>
          <w:szCs w:val="28"/>
        </w:rPr>
        <w:t>所有产品必须符合国家相关法律法规要求。</w:t>
      </w:r>
    </w:p>
    <w:p w14:paraId="11FE84F8">
      <w:pPr>
        <w:ind w:firstLine="565" w:firstLineChars="202"/>
        <w:rPr>
          <w:sz w:val="28"/>
          <w:szCs w:val="28"/>
        </w:rPr>
      </w:pPr>
      <w:r>
        <w:rPr>
          <w:sz w:val="28"/>
          <w:szCs w:val="28"/>
        </w:rPr>
        <w:t>2.</w:t>
      </w:r>
      <w:r>
        <w:rPr>
          <w:rFonts w:hint="eastAsia"/>
          <w:sz w:val="28"/>
          <w:szCs w:val="28"/>
        </w:rPr>
        <w:t>保质期内发生的质量问题由供货商免费负责解决。</w:t>
      </w:r>
    </w:p>
    <w:p w14:paraId="6C3FDADC">
      <w:pPr>
        <w:ind w:firstLine="565" w:firstLineChars="202"/>
        <w:rPr>
          <w:sz w:val="28"/>
          <w:szCs w:val="28"/>
        </w:rPr>
      </w:pPr>
      <w:r>
        <w:rPr>
          <w:sz w:val="28"/>
          <w:szCs w:val="28"/>
        </w:rPr>
        <w:t>3.</w:t>
      </w:r>
      <w:r>
        <w:rPr>
          <w:rFonts w:hint="eastAsia"/>
          <w:sz w:val="28"/>
          <w:szCs w:val="28"/>
        </w:rPr>
        <w:t>供应商须在竞谈书中单独提供一份切实可行的售后服务承诺书。</w:t>
      </w:r>
    </w:p>
    <w:p w14:paraId="68BC0FAC">
      <w:pPr>
        <w:ind w:firstLine="565" w:firstLineChars="202"/>
        <w:rPr>
          <w:sz w:val="28"/>
          <w:szCs w:val="28"/>
        </w:rPr>
      </w:pPr>
      <w:r>
        <w:rPr>
          <w:sz w:val="28"/>
          <w:szCs w:val="28"/>
        </w:rPr>
        <w:t xml:space="preserve"> 4.</w:t>
      </w:r>
      <w:r>
        <w:rPr>
          <w:rFonts w:hint="eastAsia"/>
          <w:sz w:val="28"/>
          <w:szCs w:val="28"/>
        </w:rPr>
        <w:t>竞谈文件要注明工期及质保时间，售后服务响应时间。</w:t>
      </w:r>
    </w:p>
    <w:p w14:paraId="11B22D1A">
      <w:pPr>
        <w:ind w:firstLine="565" w:firstLineChars="202"/>
        <w:rPr>
          <w:rFonts w:ascii="宋体"/>
          <w:b/>
          <w:bCs/>
          <w:sz w:val="28"/>
          <w:szCs w:val="28"/>
        </w:rPr>
      </w:pPr>
      <w:r>
        <w:rPr>
          <w:sz w:val="28"/>
          <w:szCs w:val="28"/>
        </w:rPr>
        <w:t>5.</w:t>
      </w:r>
      <w:r>
        <w:rPr>
          <w:rFonts w:hint="eastAsia"/>
          <w:sz w:val="28"/>
          <w:szCs w:val="28"/>
        </w:rPr>
        <w:t>竞谈文件一式肆份，壹正叁副。</w:t>
      </w:r>
    </w:p>
    <w:p w14:paraId="7B78FC55">
      <w:pPr>
        <w:spacing w:line="360" w:lineRule="auto"/>
        <w:ind w:firstLine="568" w:firstLineChars="202"/>
        <w:rPr>
          <w:rFonts w:ascii="宋体" w:hAnsi="宋体"/>
          <w:b/>
          <w:bCs/>
          <w:color w:val="FF0000"/>
          <w:sz w:val="28"/>
          <w:szCs w:val="28"/>
        </w:rPr>
      </w:pPr>
      <w:r>
        <w:rPr>
          <w:rFonts w:hint="eastAsia" w:ascii="宋体" w:hAnsi="宋体"/>
          <w:b/>
          <w:bCs/>
          <w:color w:val="FF0000"/>
          <w:sz w:val="28"/>
          <w:szCs w:val="28"/>
        </w:rPr>
        <w:t>四、设备名称、数量及参数要求：</w:t>
      </w:r>
    </w:p>
    <w:tbl>
      <w:tblPr>
        <w:tblStyle w:val="16"/>
        <w:tblW w:w="10525" w:type="dxa"/>
        <w:tblInd w:w="93" w:type="dxa"/>
        <w:tblLayout w:type="fixed"/>
        <w:tblCellMar>
          <w:top w:w="0" w:type="dxa"/>
          <w:left w:w="108" w:type="dxa"/>
          <w:bottom w:w="0" w:type="dxa"/>
          <w:right w:w="108" w:type="dxa"/>
        </w:tblCellMar>
      </w:tblPr>
      <w:tblGrid>
        <w:gridCol w:w="704"/>
        <w:gridCol w:w="1012"/>
        <w:gridCol w:w="709"/>
        <w:gridCol w:w="3260"/>
        <w:gridCol w:w="791"/>
        <w:gridCol w:w="716"/>
        <w:gridCol w:w="1267"/>
        <w:gridCol w:w="1167"/>
        <w:gridCol w:w="899"/>
      </w:tblGrid>
      <w:tr w14:paraId="59F04693">
        <w:tblPrEx>
          <w:tblCellMar>
            <w:top w:w="0" w:type="dxa"/>
            <w:left w:w="108" w:type="dxa"/>
            <w:bottom w:w="0" w:type="dxa"/>
            <w:right w:w="108" w:type="dxa"/>
          </w:tblCellMar>
        </w:tblPrEx>
        <w:trPr>
          <w:trHeight w:val="480"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54A6D">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序号</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3A0D">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名称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C156">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品牌</w:t>
            </w: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FE6B">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参数要求</w:t>
            </w:r>
          </w:p>
        </w:tc>
        <w:tc>
          <w:tcPr>
            <w:tcW w:w="7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97E4A95">
            <w:pPr>
              <w:widowControl/>
              <w:tabs>
                <w:tab w:val="left" w:pos="6300"/>
              </w:tabs>
              <w:jc w:val="center"/>
              <w:textAlignment w:val="center"/>
              <w:rPr>
                <w:rFonts w:ascii="宋体" w:hAnsi="宋体" w:cs="宋体"/>
                <w:b/>
                <w:bCs/>
                <w:color w:val="000000"/>
                <w:sz w:val="24"/>
              </w:rPr>
            </w:pPr>
            <w:r>
              <w:rPr>
                <w:rFonts w:hint="eastAsia" w:ascii="宋体" w:hAnsi="宋体" w:cs="宋体"/>
                <w:b/>
                <w:bCs/>
                <w:color w:val="000000"/>
                <w:kern w:val="0"/>
                <w:sz w:val="24"/>
              </w:rPr>
              <w:t>单位</w:t>
            </w:r>
          </w:p>
        </w:tc>
        <w:tc>
          <w:tcPr>
            <w:tcW w:w="716" w:type="dxa"/>
            <w:tcBorders>
              <w:top w:val="single" w:color="000000" w:sz="4" w:space="0"/>
              <w:left w:val="single" w:color="auto" w:sz="4" w:space="0"/>
              <w:bottom w:val="single" w:color="000000" w:sz="4" w:space="0"/>
              <w:right w:val="single" w:color="000000" w:sz="4" w:space="0"/>
            </w:tcBorders>
            <w:shd w:val="clear" w:color="auto" w:fill="auto"/>
            <w:vAlign w:val="center"/>
          </w:tcPr>
          <w:p w14:paraId="1CFFE569">
            <w:pPr>
              <w:tabs>
                <w:tab w:val="left" w:pos="6300"/>
              </w:tabs>
              <w:jc w:val="center"/>
              <w:textAlignment w:val="center"/>
              <w:rPr>
                <w:rFonts w:ascii="宋体" w:hAnsi="宋体" w:cs="宋体"/>
                <w:b/>
                <w:bCs/>
                <w:color w:val="000000"/>
                <w:sz w:val="24"/>
              </w:rPr>
            </w:pPr>
            <w:r>
              <w:rPr>
                <w:rFonts w:hint="eastAsia" w:ascii="宋体" w:hAnsi="宋体" w:cs="宋体"/>
                <w:b/>
                <w:bCs/>
                <w:color w:val="000000"/>
                <w:kern w:val="0"/>
                <w:sz w:val="24"/>
              </w:rPr>
              <w:t>数量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B83A">
            <w:pPr>
              <w:widowControl/>
              <w:tabs>
                <w:tab w:val="left" w:pos="6300"/>
              </w:tabs>
              <w:jc w:val="center"/>
              <w:textAlignment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83CB2">
            <w:pPr>
              <w:widowControl/>
              <w:tabs>
                <w:tab w:val="left" w:pos="6300"/>
              </w:tabs>
              <w:jc w:val="center"/>
              <w:textAlignment w:val="center"/>
              <w:rPr>
                <w:rFonts w:ascii="宋体" w:hAnsi="宋体" w:cs="宋体"/>
                <w:b/>
                <w:bCs/>
                <w:color w:val="000000"/>
                <w:kern w:val="0"/>
                <w:sz w:val="24"/>
              </w:rPr>
            </w:pPr>
            <w:r>
              <w:rPr>
                <w:rFonts w:hint="eastAsia" w:ascii="宋体" w:hAnsi="宋体" w:cs="宋体"/>
                <w:b/>
                <w:bCs/>
                <w:color w:val="000000"/>
                <w:kern w:val="0"/>
                <w:sz w:val="24"/>
              </w:rPr>
              <w:t>金额：元</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5845">
            <w:pPr>
              <w:widowControl/>
              <w:tabs>
                <w:tab w:val="left" w:pos="6300"/>
              </w:tabs>
              <w:jc w:val="center"/>
              <w:textAlignment w:val="center"/>
              <w:rPr>
                <w:rFonts w:hint="eastAsia" w:ascii="宋体" w:hAnsi="宋体" w:eastAsia="宋体" w:cs="宋体"/>
                <w:b/>
                <w:bCs/>
                <w:color w:val="000000"/>
                <w:kern w:val="0"/>
                <w:sz w:val="24"/>
                <w:lang w:eastAsia="zh-CN"/>
              </w:rPr>
            </w:pPr>
            <w:r>
              <w:rPr>
                <w:rFonts w:hint="eastAsia" w:ascii="宋体" w:hAnsi="宋体" w:cs="宋体"/>
                <w:b/>
                <w:bCs/>
                <w:color w:val="000000"/>
                <w:kern w:val="0"/>
                <w:sz w:val="24"/>
                <w:lang w:eastAsia="zh-CN"/>
              </w:rPr>
              <w:t>备注</w:t>
            </w:r>
          </w:p>
        </w:tc>
      </w:tr>
      <w:tr w14:paraId="73895CA4">
        <w:tblPrEx>
          <w:tblCellMar>
            <w:top w:w="0" w:type="dxa"/>
            <w:left w:w="108" w:type="dxa"/>
            <w:bottom w:w="0" w:type="dxa"/>
            <w:right w:w="108" w:type="dxa"/>
          </w:tblCellMar>
        </w:tblPrEx>
        <w:trPr>
          <w:trHeight w:val="304"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tcPr>
          <w:p w14:paraId="71D06AD0">
            <w:pPr>
              <w:widowControl/>
              <w:jc w:val="center"/>
              <w:textAlignment w:val="center"/>
              <w:rPr>
                <w:rFonts w:ascii="宋体" w:hAnsi="宋体" w:cs="宋体"/>
                <w:color w:val="000000"/>
                <w:kern w:val="0"/>
                <w:sz w:val="22"/>
                <w:szCs w:val="22"/>
              </w:rPr>
            </w:pPr>
          </w:p>
          <w:p w14:paraId="639E9F9A">
            <w:pPr>
              <w:widowControl/>
              <w:jc w:val="center"/>
              <w:textAlignment w:val="center"/>
              <w:rPr>
                <w:rFonts w:ascii="宋体" w:hAnsi="宋体" w:cs="宋体"/>
                <w:color w:val="000000"/>
                <w:kern w:val="0"/>
                <w:sz w:val="22"/>
                <w:szCs w:val="22"/>
              </w:rPr>
            </w:pPr>
          </w:p>
          <w:p w14:paraId="067D0B83">
            <w:pPr>
              <w:widowControl/>
              <w:jc w:val="center"/>
              <w:textAlignment w:val="center"/>
              <w:rPr>
                <w:rFonts w:hint="eastAsia" w:ascii="宋体" w:hAnsi="宋体" w:cs="宋体"/>
                <w:color w:val="000000"/>
                <w:kern w:val="0"/>
                <w:sz w:val="22"/>
                <w:szCs w:val="22"/>
              </w:rPr>
            </w:pPr>
          </w:p>
          <w:p w14:paraId="15BBC21F">
            <w:pPr>
              <w:widowControl/>
              <w:jc w:val="center"/>
              <w:textAlignment w:val="center"/>
              <w:rPr>
                <w:rFonts w:hint="eastAsia" w:ascii="宋体" w:hAnsi="宋体" w:cs="宋体"/>
                <w:color w:val="000000"/>
                <w:kern w:val="0"/>
                <w:sz w:val="22"/>
                <w:szCs w:val="22"/>
              </w:rPr>
            </w:pPr>
          </w:p>
          <w:p w14:paraId="4B0EAA15">
            <w:pPr>
              <w:widowControl/>
              <w:jc w:val="center"/>
              <w:textAlignment w:val="center"/>
              <w:rPr>
                <w:rFonts w:hint="eastAsia" w:ascii="宋体" w:hAnsi="宋体" w:cs="宋体"/>
                <w:color w:val="000000"/>
                <w:kern w:val="0"/>
                <w:sz w:val="22"/>
                <w:szCs w:val="22"/>
              </w:rPr>
            </w:pPr>
          </w:p>
          <w:p w14:paraId="30758B71">
            <w:pPr>
              <w:widowControl/>
              <w:jc w:val="center"/>
              <w:textAlignment w:val="center"/>
              <w:rPr>
                <w:rFonts w:hint="eastAsia" w:ascii="宋体" w:hAnsi="宋体" w:cs="宋体"/>
                <w:color w:val="000000"/>
                <w:kern w:val="0"/>
                <w:sz w:val="22"/>
                <w:szCs w:val="22"/>
              </w:rPr>
            </w:pPr>
          </w:p>
          <w:p w14:paraId="77D4C8F9">
            <w:pPr>
              <w:widowControl/>
              <w:jc w:val="center"/>
              <w:textAlignment w:val="center"/>
              <w:rPr>
                <w:rFonts w:hint="eastAsia" w:ascii="宋体" w:hAnsi="宋体" w:cs="宋体"/>
                <w:color w:val="000000"/>
                <w:kern w:val="0"/>
                <w:sz w:val="22"/>
                <w:szCs w:val="22"/>
              </w:rPr>
            </w:pPr>
          </w:p>
          <w:p w14:paraId="14F9A3DD">
            <w:pPr>
              <w:widowControl/>
              <w:jc w:val="center"/>
              <w:textAlignment w:val="center"/>
              <w:rPr>
                <w:rFonts w:hint="eastAsia" w:ascii="宋体" w:hAnsi="宋体" w:cs="宋体"/>
                <w:color w:val="000000"/>
                <w:kern w:val="0"/>
                <w:sz w:val="22"/>
                <w:szCs w:val="22"/>
              </w:rPr>
            </w:pPr>
          </w:p>
          <w:p w14:paraId="5D130431">
            <w:pPr>
              <w:widowControl/>
              <w:jc w:val="center"/>
              <w:textAlignment w:val="center"/>
              <w:rPr>
                <w:rFonts w:hint="eastAsia" w:ascii="宋体" w:hAnsi="宋体" w:cs="宋体"/>
                <w:color w:val="000000"/>
                <w:kern w:val="0"/>
                <w:sz w:val="22"/>
                <w:szCs w:val="22"/>
              </w:rPr>
            </w:pPr>
          </w:p>
          <w:p w14:paraId="28A8D3ED">
            <w:pPr>
              <w:widowControl/>
              <w:jc w:val="center"/>
              <w:textAlignment w:val="center"/>
              <w:rPr>
                <w:rFonts w:hint="eastAsia" w:ascii="宋体" w:hAnsi="宋体" w:cs="宋体"/>
                <w:color w:val="000000"/>
                <w:kern w:val="0"/>
                <w:sz w:val="22"/>
                <w:szCs w:val="22"/>
              </w:rPr>
            </w:pPr>
          </w:p>
          <w:p w14:paraId="16DD60E7">
            <w:pPr>
              <w:widowControl/>
              <w:jc w:val="center"/>
              <w:textAlignment w:val="center"/>
              <w:rPr>
                <w:rFonts w:hint="eastAsia" w:ascii="宋体" w:hAnsi="宋体" w:cs="宋体"/>
                <w:color w:val="000000"/>
                <w:kern w:val="0"/>
                <w:sz w:val="22"/>
                <w:szCs w:val="22"/>
              </w:rPr>
            </w:pPr>
          </w:p>
          <w:p w14:paraId="1538B0B8">
            <w:pPr>
              <w:widowControl/>
              <w:jc w:val="center"/>
              <w:textAlignment w:val="center"/>
              <w:rPr>
                <w:rFonts w:hint="eastAsia" w:ascii="宋体" w:hAnsi="宋体" w:cs="宋体"/>
                <w:color w:val="000000"/>
                <w:kern w:val="0"/>
                <w:sz w:val="22"/>
                <w:szCs w:val="22"/>
              </w:rPr>
            </w:pPr>
          </w:p>
          <w:p w14:paraId="7AA190B5">
            <w:pPr>
              <w:widowControl/>
              <w:jc w:val="center"/>
              <w:textAlignment w:val="center"/>
              <w:rPr>
                <w:rFonts w:hint="eastAsia" w:ascii="宋体" w:hAnsi="宋体" w:cs="宋体"/>
                <w:color w:val="000000"/>
                <w:kern w:val="0"/>
                <w:sz w:val="22"/>
                <w:szCs w:val="22"/>
              </w:rPr>
            </w:pPr>
          </w:p>
          <w:p w14:paraId="46FB2125">
            <w:pPr>
              <w:widowControl/>
              <w:jc w:val="center"/>
              <w:textAlignment w:val="center"/>
              <w:rPr>
                <w:rFonts w:hint="eastAsia" w:ascii="宋体" w:hAnsi="宋体" w:cs="宋体"/>
                <w:color w:val="000000"/>
                <w:kern w:val="0"/>
                <w:sz w:val="22"/>
                <w:szCs w:val="22"/>
              </w:rPr>
            </w:pPr>
          </w:p>
          <w:p w14:paraId="50D4FF53">
            <w:pPr>
              <w:widowControl/>
              <w:jc w:val="center"/>
              <w:textAlignment w:val="center"/>
              <w:rPr>
                <w:rFonts w:hint="eastAsia" w:ascii="宋体" w:hAnsi="宋体" w:cs="宋体"/>
                <w:color w:val="000000"/>
                <w:kern w:val="0"/>
                <w:sz w:val="22"/>
                <w:szCs w:val="22"/>
              </w:rPr>
            </w:pPr>
          </w:p>
          <w:p w14:paraId="5A0B9066">
            <w:pPr>
              <w:widowControl/>
              <w:jc w:val="center"/>
              <w:textAlignment w:val="center"/>
              <w:rPr>
                <w:rFonts w:hint="eastAsia" w:ascii="宋体" w:hAnsi="宋体" w:cs="宋体"/>
                <w:color w:val="000000"/>
                <w:kern w:val="0"/>
                <w:sz w:val="22"/>
                <w:szCs w:val="22"/>
              </w:rPr>
            </w:pPr>
          </w:p>
          <w:p w14:paraId="55386EA8">
            <w:pPr>
              <w:widowControl/>
              <w:jc w:val="center"/>
              <w:textAlignment w:val="center"/>
              <w:rPr>
                <w:rFonts w:hint="eastAsia" w:ascii="宋体" w:hAnsi="宋体" w:cs="宋体"/>
                <w:color w:val="000000"/>
                <w:kern w:val="0"/>
                <w:sz w:val="22"/>
                <w:szCs w:val="22"/>
              </w:rPr>
            </w:pPr>
          </w:p>
          <w:p w14:paraId="5A042F62">
            <w:pPr>
              <w:widowControl/>
              <w:jc w:val="center"/>
              <w:textAlignment w:val="center"/>
              <w:rPr>
                <w:rFonts w:hint="eastAsia" w:ascii="宋体" w:hAnsi="宋体" w:cs="宋体"/>
                <w:color w:val="000000"/>
                <w:kern w:val="0"/>
                <w:sz w:val="22"/>
                <w:szCs w:val="22"/>
              </w:rPr>
            </w:pPr>
          </w:p>
          <w:p w14:paraId="43A41F96">
            <w:pPr>
              <w:widowControl/>
              <w:jc w:val="center"/>
              <w:textAlignment w:val="center"/>
              <w:rPr>
                <w:rFonts w:hint="eastAsia" w:ascii="宋体" w:hAnsi="宋体" w:cs="宋体"/>
                <w:color w:val="000000"/>
                <w:kern w:val="0"/>
                <w:sz w:val="22"/>
                <w:szCs w:val="22"/>
              </w:rPr>
            </w:pPr>
          </w:p>
          <w:p w14:paraId="3C5B1F2C">
            <w:pPr>
              <w:widowControl/>
              <w:jc w:val="center"/>
              <w:textAlignment w:val="center"/>
              <w:rPr>
                <w:rFonts w:hint="eastAsia" w:ascii="宋体" w:hAnsi="宋体" w:cs="宋体"/>
                <w:color w:val="000000"/>
                <w:kern w:val="0"/>
                <w:sz w:val="22"/>
                <w:szCs w:val="22"/>
              </w:rPr>
            </w:pPr>
          </w:p>
          <w:p w14:paraId="4E8B37F6">
            <w:pPr>
              <w:widowControl/>
              <w:jc w:val="center"/>
              <w:textAlignment w:val="center"/>
              <w:rPr>
                <w:rFonts w:hint="eastAsia" w:ascii="宋体" w:hAnsi="宋体" w:cs="宋体"/>
                <w:color w:val="000000"/>
                <w:kern w:val="0"/>
                <w:sz w:val="22"/>
                <w:szCs w:val="22"/>
              </w:rPr>
            </w:pPr>
          </w:p>
          <w:p w14:paraId="7E66D305">
            <w:pPr>
              <w:widowControl/>
              <w:jc w:val="center"/>
              <w:textAlignment w:val="center"/>
              <w:rPr>
                <w:rFonts w:hint="eastAsia" w:ascii="宋体" w:hAnsi="宋体" w:cs="宋体"/>
                <w:color w:val="000000"/>
                <w:kern w:val="0"/>
                <w:sz w:val="22"/>
                <w:szCs w:val="22"/>
              </w:rPr>
            </w:pPr>
          </w:p>
          <w:p w14:paraId="175EE172">
            <w:pPr>
              <w:widowControl/>
              <w:jc w:val="center"/>
              <w:textAlignment w:val="center"/>
              <w:rPr>
                <w:rFonts w:hint="eastAsia" w:ascii="宋体" w:hAnsi="宋体" w:cs="宋体"/>
                <w:color w:val="000000"/>
                <w:kern w:val="0"/>
                <w:sz w:val="22"/>
                <w:szCs w:val="22"/>
              </w:rPr>
            </w:pPr>
          </w:p>
          <w:p w14:paraId="439F3C90">
            <w:pPr>
              <w:widowControl/>
              <w:jc w:val="center"/>
              <w:textAlignment w:val="center"/>
              <w:rPr>
                <w:rFonts w:hint="eastAsia" w:ascii="宋体" w:hAnsi="宋体" w:cs="宋体"/>
                <w:color w:val="000000"/>
                <w:kern w:val="0"/>
                <w:sz w:val="22"/>
                <w:szCs w:val="22"/>
              </w:rPr>
            </w:pPr>
          </w:p>
          <w:p w14:paraId="0FFF10BE">
            <w:pPr>
              <w:widowControl/>
              <w:jc w:val="center"/>
              <w:textAlignment w:val="center"/>
              <w:rPr>
                <w:rFonts w:hint="eastAsia" w:ascii="宋体" w:hAnsi="宋体" w:cs="宋体"/>
                <w:color w:val="000000"/>
                <w:kern w:val="0"/>
                <w:sz w:val="22"/>
                <w:szCs w:val="22"/>
              </w:rPr>
            </w:pPr>
          </w:p>
          <w:p w14:paraId="42F59060">
            <w:pPr>
              <w:widowControl/>
              <w:jc w:val="center"/>
              <w:textAlignment w:val="center"/>
              <w:rPr>
                <w:rFonts w:hint="eastAsia" w:ascii="宋体" w:hAnsi="宋体" w:cs="宋体"/>
                <w:color w:val="000000"/>
                <w:kern w:val="0"/>
                <w:sz w:val="22"/>
                <w:szCs w:val="22"/>
              </w:rPr>
            </w:pPr>
          </w:p>
          <w:p w14:paraId="33DE8EEC">
            <w:pPr>
              <w:widowControl/>
              <w:jc w:val="center"/>
              <w:textAlignment w:val="center"/>
              <w:rPr>
                <w:rFonts w:hint="eastAsia" w:ascii="宋体" w:hAnsi="宋体" w:cs="宋体"/>
                <w:color w:val="000000"/>
                <w:kern w:val="0"/>
                <w:sz w:val="22"/>
                <w:szCs w:val="22"/>
              </w:rPr>
            </w:pPr>
          </w:p>
          <w:p w14:paraId="563083A5">
            <w:pPr>
              <w:widowControl/>
              <w:jc w:val="center"/>
              <w:textAlignment w:val="center"/>
              <w:rPr>
                <w:rFonts w:hint="eastAsia" w:ascii="宋体" w:hAnsi="宋体" w:cs="宋体"/>
                <w:color w:val="000000"/>
                <w:kern w:val="0"/>
                <w:sz w:val="22"/>
                <w:szCs w:val="22"/>
              </w:rPr>
            </w:pPr>
          </w:p>
          <w:p w14:paraId="575DC277">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FFFFFF"/>
          </w:tcPr>
          <w:p w14:paraId="42FA422C">
            <w:pPr>
              <w:widowControl/>
              <w:jc w:val="center"/>
              <w:textAlignment w:val="center"/>
              <w:rPr>
                <w:rFonts w:ascii="方正仿宋_GBK" w:hAnsi="方正仿宋_GBK" w:eastAsia="方正仿宋_GBK" w:cs="方正仿宋_GBK"/>
                <w:color w:val="05073B"/>
                <w:sz w:val="24"/>
                <w:shd w:val="clear" w:color="auto" w:fill="FDFDFE"/>
              </w:rPr>
            </w:pPr>
          </w:p>
          <w:p w14:paraId="52B9BA0D">
            <w:pPr>
              <w:widowControl/>
              <w:jc w:val="center"/>
              <w:textAlignment w:val="center"/>
              <w:rPr>
                <w:rFonts w:hint="eastAsia" w:ascii="方正仿宋_GBK" w:hAnsi="方正仿宋_GBK" w:eastAsia="方正仿宋_GBK" w:cs="方正仿宋_GBK"/>
                <w:color w:val="05073B"/>
                <w:sz w:val="24"/>
                <w:shd w:val="clear" w:color="auto" w:fill="FDFDFE"/>
              </w:rPr>
            </w:pPr>
          </w:p>
          <w:p w14:paraId="52BFC7E9">
            <w:pPr>
              <w:widowControl/>
              <w:jc w:val="center"/>
              <w:textAlignment w:val="center"/>
              <w:rPr>
                <w:rFonts w:hint="eastAsia" w:ascii="方正仿宋_GBK" w:hAnsi="方正仿宋_GBK" w:eastAsia="方正仿宋_GBK" w:cs="方正仿宋_GBK"/>
                <w:color w:val="05073B"/>
                <w:sz w:val="24"/>
                <w:shd w:val="clear" w:color="auto" w:fill="FDFDFE"/>
              </w:rPr>
            </w:pPr>
          </w:p>
          <w:p w14:paraId="65BCDFB3">
            <w:pPr>
              <w:widowControl/>
              <w:jc w:val="center"/>
              <w:textAlignment w:val="center"/>
              <w:rPr>
                <w:rFonts w:hint="eastAsia" w:ascii="方正仿宋_GBK" w:hAnsi="方正仿宋_GBK" w:eastAsia="方正仿宋_GBK" w:cs="方正仿宋_GBK"/>
                <w:color w:val="05073B"/>
                <w:sz w:val="24"/>
                <w:shd w:val="clear" w:color="auto" w:fill="FDFDFE"/>
              </w:rPr>
            </w:pPr>
          </w:p>
          <w:p w14:paraId="0BE64A63">
            <w:pPr>
              <w:widowControl/>
              <w:jc w:val="center"/>
              <w:textAlignment w:val="center"/>
              <w:rPr>
                <w:rFonts w:hint="eastAsia" w:ascii="方正仿宋_GBK" w:hAnsi="方正仿宋_GBK" w:eastAsia="方正仿宋_GBK" w:cs="方正仿宋_GBK"/>
                <w:color w:val="05073B"/>
                <w:sz w:val="24"/>
                <w:shd w:val="clear" w:color="auto" w:fill="FDFDFE"/>
              </w:rPr>
            </w:pPr>
          </w:p>
          <w:p w14:paraId="2A47A82D">
            <w:pPr>
              <w:widowControl/>
              <w:jc w:val="center"/>
              <w:textAlignment w:val="center"/>
              <w:rPr>
                <w:rFonts w:hint="eastAsia" w:ascii="方正仿宋_GBK" w:hAnsi="方正仿宋_GBK" w:eastAsia="方正仿宋_GBK" w:cs="方正仿宋_GBK"/>
                <w:color w:val="05073B"/>
                <w:sz w:val="24"/>
                <w:shd w:val="clear" w:color="auto" w:fill="FDFDFE"/>
              </w:rPr>
            </w:pPr>
          </w:p>
          <w:p w14:paraId="0685D997">
            <w:pPr>
              <w:widowControl/>
              <w:jc w:val="center"/>
              <w:textAlignment w:val="center"/>
              <w:rPr>
                <w:rFonts w:hint="eastAsia" w:ascii="方正仿宋_GBK" w:hAnsi="方正仿宋_GBK" w:eastAsia="方正仿宋_GBK" w:cs="方正仿宋_GBK"/>
                <w:color w:val="05073B"/>
                <w:sz w:val="24"/>
                <w:shd w:val="clear" w:color="auto" w:fill="FDFDFE"/>
              </w:rPr>
            </w:pPr>
          </w:p>
          <w:p w14:paraId="6CC4D42E">
            <w:pPr>
              <w:widowControl/>
              <w:jc w:val="center"/>
              <w:textAlignment w:val="center"/>
              <w:rPr>
                <w:rFonts w:hint="eastAsia" w:ascii="方正仿宋_GBK" w:hAnsi="方正仿宋_GBK" w:eastAsia="方正仿宋_GBK" w:cs="方正仿宋_GBK"/>
                <w:color w:val="05073B"/>
                <w:sz w:val="24"/>
                <w:shd w:val="clear" w:color="auto" w:fill="FDFDFE"/>
              </w:rPr>
            </w:pPr>
          </w:p>
          <w:p w14:paraId="0A497D73">
            <w:pPr>
              <w:widowControl/>
              <w:jc w:val="center"/>
              <w:textAlignment w:val="center"/>
              <w:rPr>
                <w:rFonts w:hint="eastAsia" w:ascii="方正仿宋_GBK" w:hAnsi="方正仿宋_GBK" w:eastAsia="方正仿宋_GBK" w:cs="方正仿宋_GBK"/>
                <w:color w:val="05073B"/>
                <w:sz w:val="24"/>
                <w:shd w:val="clear" w:color="auto" w:fill="FDFDFE"/>
              </w:rPr>
            </w:pPr>
          </w:p>
          <w:p w14:paraId="741FB0CE">
            <w:pPr>
              <w:widowControl/>
              <w:jc w:val="center"/>
              <w:textAlignment w:val="center"/>
              <w:rPr>
                <w:rFonts w:hint="eastAsia" w:ascii="方正仿宋_GBK" w:hAnsi="方正仿宋_GBK" w:eastAsia="方正仿宋_GBK" w:cs="方正仿宋_GBK"/>
                <w:color w:val="05073B"/>
                <w:sz w:val="24"/>
                <w:shd w:val="clear" w:color="auto" w:fill="FDFDFE"/>
              </w:rPr>
            </w:pPr>
          </w:p>
          <w:p w14:paraId="4C8393AB">
            <w:pPr>
              <w:widowControl/>
              <w:jc w:val="center"/>
              <w:textAlignment w:val="center"/>
              <w:rPr>
                <w:rFonts w:hint="eastAsia" w:ascii="方正仿宋_GBK" w:hAnsi="方正仿宋_GBK" w:eastAsia="方正仿宋_GBK" w:cs="方正仿宋_GBK"/>
                <w:color w:val="05073B"/>
                <w:sz w:val="24"/>
                <w:shd w:val="clear" w:color="auto" w:fill="FDFDFE"/>
              </w:rPr>
            </w:pPr>
          </w:p>
          <w:p w14:paraId="4BFF979F">
            <w:pPr>
              <w:widowControl/>
              <w:jc w:val="center"/>
              <w:textAlignment w:val="center"/>
              <w:rPr>
                <w:rFonts w:hint="eastAsia" w:ascii="方正仿宋_GBK" w:hAnsi="方正仿宋_GBK" w:eastAsia="方正仿宋_GBK" w:cs="方正仿宋_GBK"/>
                <w:color w:val="05073B"/>
                <w:sz w:val="24"/>
                <w:shd w:val="clear" w:color="auto" w:fill="FDFDFE"/>
              </w:rPr>
            </w:pPr>
          </w:p>
          <w:p w14:paraId="15C95DE4">
            <w:pPr>
              <w:widowControl/>
              <w:jc w:val="center"/>
              <w:textAlignment w:val="center"/>
              <w:rPr>
                <w:rFonts w:ascii="宋体" w:hAnsi="宋体" w:cs="宋体"/>
                <w:color w:val="000000"/>
                <w:kern w:val="0"/>
                <w:sz w:val="22"/>
                <w:szCs w:val="22"/>
              </w:rPr>
            </w:pPr>
            <w:r>
              <w:rPr>
                <w:rFonts w:hint="eastAsia" w:ascii="方正仿宋_GBK" w:hAnsi="方正仿宋_GBK" w:eastAsia="方正仿宋_GBK" w:cs="方正仿宋_GBK"/>
                <w:color w:val="05073B"/>
                <w:sz w:val="24"/>
                <w:shd w:val="clear" w:color="auto" w:fill="FDFDFE"/>
              </w:rPr>
              <w:t>课程多元图谱建设</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3A760">
            <w:pPr>
              <w:widowControl/>
              <w:jc w:val="center"/>
              <w:textAlignment w:val="bottom"/>
              <w:rPr>
                <w:rFonts w:ascii="宋体" w:hAnsi="宋体" w:cs="宋体"/>
                <w:color w:val="000000"/>
                <w:kern w:val="0"/>
                <w:sz w:val="24"/>
              </w:rPr>
            </w:pP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83A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一、图谱管理</w:t>
            </w:r>
          </w:p>
          <w:p w14:paraId="3E77992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知识点标签与分类管理：支持为知识点打标签，自定义标签内容，同一知识点可标记多个标签。具备附加标签功能，支持知识点分类和标识（如重点、难点、考点等），并支持用户自定义标签名称。知识点可被赋予多种分类属性，包括事实性、概念性、程序性、元认知等。</w:t>
            </w:r>
          </w:p>
          <w:p w14:paraId="0D3C53E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跨课知识点关联与展示：支持跨课知识点关联，实现不同课程之间知识的聚合联动，关联后可进行跨课学习及多门课程知识点关联展示。支持用户通过点击跨课知识点一键跳转，点击知识点后其父级节点高亮显示。支持与现有在线课程资源跨课关联。</w:t>
            </w:r>
          </w:p>
          <w:p w14:paraId="5E6C793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3.知识点显示顺序与高亮功能：支持教师调整知识点在课程空间菜单栏的显示顺序。点击知识点后，其父级知识点节点高亮显示，便于用户快速定位和理解知识点层级关系。</w:t>
            </w:r>
          </w:p>
          <w:p w14:paraId="0274510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支持用户通过移动端设备访问知识图谱，使用多种学习模式，移动端包括但不限于微信公众号、微信小程序、移动app等，并可点击跳转微课，实现随时随地的个性化学习，移动端提供图谱模式和大纲模式，以适应不同用户的学习偏好和场景需求，学生移动端访问时可查看知识点的完成率和掌握率以及任务点的完成情况，点进知识点后可查看学习内容和相关资料等。【本条需演示，详见评审标准】</w:t>
            </w:r>
          </w:p>
          <w:p w14:paraId="4355965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二、图谱构建</w:t>
            </w:r>
          </w:p>
          <w:p w14:paraId="457674A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知识点层级与图谱构建：支持知识点多层级架构建立，生成子父级知识点关系。可通过手动添加、批量导入（填写知识点名称、标签信息、认知维度等）或智能导入（上传课程大纲、教材等）方式构建知识图谱，支持本地导入xmind格式文件并导出。</w:t>
            </w:r>
          </w:p>
          <w:p w14:paraId="6C66401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课程知识图谱构建支持智能导入，同步其他课程知识图谱，以及从课程章节导入，支持课程章节一键转化生成知识图谱并关联资源。具备知识图谱门户系统，提供门户模板展示课程介绍、知识图谱、知识关系、目标图谱、问题图谱等内容。</w:t>
            </w:r>
          </w:p>
          <w:p w14:paraId="29B4FA1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图谱编辑与形态选择：支持知识图谱自定义编辑功能，提供至少6种图谱形态，用户可根据课程性质选择合适的形态。支持自定义颜色设定（知识点颜色、文字颜色及大小），并支持批量编辑知识点属性及移动节点。</w:t>
            </w:r>
          </w:p>
          <w:p w14:paraId="1EEAE81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4.图谱展示与显隐控制：知识图谱支持2D和3D展示效果，用户可自主切换模式。支持对课程体系、知识图谱、知识关系等进行自定义显隐控制，知识点可单独设置显示或隐藏。</w:t>
            </w:r>
          </w:p>
          <w:p w14:paraId="34D6D33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5.富媒体支持与图标上传：知识点支持富文本编辑框、公式编辑等富媒体文本说明。支持教师在图谱内自由上传图标作为背景，便于知识图谱的美化与个性化构建。</w:t>
            </w:r>
          </w:p>
          <w:p w14:paraId="3071871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6.知识点梳理：供应商团队提供知识点梳理服务，知识图谱的梳理要服务于实际的教学活动，要符合教师的教学思路；知识图谱要符合揭示课程内在的逻辑结构。</w:t>
            </w:r>
          </w:p>
          <w:p w14:paraId="0E57B02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7.知识点资源标记与任务设置：支持教师对课程章节资源（如视频、文档、章节测验等）进行知识点标记，作为教学任务设置，方便学生按知识点进行任务学习。同时，支持按知识点上传资源，查看知识点关联资源数量，并通过知识点卡片添加相关资源，便于教师按知识点管理、索引资源。</w:t>
            </w:r>
          </w:p>
          <w:p w14:paraId="550EAB1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8.题目管理与知识点关联：支持多种题型（单选、多选、填空、判断、简答、名词解析、论述等）的创建与管理，题目可标记知识点标签并按知识点筛选管理。支持批量导入题目时导入知识点，批量编辑题目关联知识点，系统智能推荐知识点，便于教师快速关联。</w:t>
            </w:r>
          </w:p>
          <w:p w14:paraId="2EC6EED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9.AI生成与错题解析：支持AI生成学习内容，根据教师网络课程内容自动生成知识点学习内容，并可一键加入微课。错题显示解析及相关知识点，支持跳转至知识点学习页面进行自适应学习，帮助学生巩固知识。</w:t>
            </w:r>
          </w:p>
          <w:p w14:paraId="20C5AB9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10.作业与考试管理：支持通过知识卡片直接添加当前知识点相关题目，创建作业时可为题目打知识点标签，或从题库按知识点抽题组建作业。支持手动组建考试试卷和智能组卷，按知识点抽题组建试卷，发放给学生考试。</w:t>
            </w:r>
          </w:p>
          <w:p w14:paraId="5A55630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11.学生学习与进度查看：支持学生查看课程知识图谱，了解每个知识点的学习进度情况。学生可按知识点进行课程任务学习，观看课程视频，阅读课程资料，提交作业和考试，并查看知识点掌握情况及推荐资源。</w:t>
            </w:r>
          </w:p>
          <w:p w14:paraId="18C4D7D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12.知识图谱可视化与筛选：图谱页面支持多维度筛选及配色方案切换，直观展示各知识点的学习情况。学生图谱界面提供标准模式和导航模式，支持多维度检索知识点进行知识挖掘（标签、层级、认知维度、分类等），知识点详情页面支持URL、笔记、文档等资料预览。</w:t>
            </w:r>
          </w:p>
          <w:p w14:paraId="529913D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13.精准教学设计与知识挖掘：支持精准教学设计功能，自定义建设事件，设置知识点掌握率及完成率，自定义学习路径或微课资料。支持推荐课内资源进行知识深入挖掘，并一键添加关联。【本条需演示，详见评审标准】本条需演示，详见评审标准】</w:t>
            </w:r>
          </w:p>
          <w:p w14:paraId="559B1CE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14.视频智能分析与知识点打点：对课程建设系统中的视频进行智能分析，自动匹配知识点并在视频对应时间点打点，生成知识点词云分析。学生可定位时间点观看对应知识点的视频讲解，提升学习效率。</w:t>
            </w:r>
          </w:p>
          <w:p w14:paraId="3AB0EF8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15.图谱展示与学习模式：通过知识图谱形式，用颜色区分展示知识点的完成度和掌握度，数据呈现更生动直观。学生图谱界面支持多维度检索和资料预览，帮助学生在不同模式下高效学习。</w:t>
            </w:r>
          </w:p>
          <w:p w14:paraId="30E1386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16.支持根据知识图谱，建设知识列表，支持以列表形式呈现知识点，点击知识点可进入知识点详情查看完成情况以及学习路径和知识点资源情况，进入之后可推荐相关联的多种资源类型，涵盖文档、视频、论文、期刊以及包含互联网资源等，为学生提供全面的知识视角。</w:t>
            </w:r>
          </w:p>
          <w:p w14:paraId="4B3D89A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三、图谱展示</w:t>
            </w:r>
          </w:p>
          <w:p w14:paraId="12D6BB6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课程思政图谱：支持自动生成思政图谱，提供关键字精确搜索和模糊匹配功能，检索结果聚焦目标节点的逻辑联系，支持知识点、分类和标签的全面搜索。用户可通过点击操作深入分类卡片获取详细信息或跳转至微课学习。</w:t>
            </w:r>
          </w:p>
          <w:p w14:paraId="52DF982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2.自定义图谱与知识森林：支持自定义图谱功能，可根据个性化需求建设图谱，包括图谱名称及样式。同时，具备知识森林图谱功能，将分散的知识资源聚合到动态、灵活的知识框架中，提升知识资源管理效率。</w:t>
            </w:r>
          </w:p>
          <w:p w14:paraId="66DC420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问题图谱与探索模式：支持定义疑难、组合及基本问题，用户可添加问题详情及其与知识点的关联。通过图谱形式展现问题与知识点的联系，支持层级连线和板块关联功能。提供探索模式，模拟学生学习路径，通过问题选择和知识点关联促进深入思考，支持讨论区话题发起与互动。【本条需演示，详见评审标准】</w:t>
            </w:r>
          </w:p>
          <w:p w14:paraId="2ADD825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目标图谱与课程管理：支持根据不同班级特点定制课程目标，为目标添加标签和详细说明。支持课程目标与知识点关联，以柱状图、列表和图谱形式展示关联情况。提供一键同步、模板导入/导出功能，便于教师快速浏览和整理课程目标。</w:t>
            </w:r>
          </w:p>
          <w:p w14:paraId="0EDE639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大纲图谱与层级结构：支持以列表形式呈现分类与知识点的层级架构，利用标签系统增强识别和分类能力。提供Excel输出功能，记录节点间的前后关联、标签、分类属性等。支持多种拓扑图展示大纲，便于学生和教师在不同思维逻辑上使用和定位。</w:t>
            </w:r>
          </w:p>
          <w:p w14:paraId="049EF70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6.问题管理与数据操作：支持对问题板块的删除和批量删除，提升问题管理效率。支持批量导入问题数据和一键导出问题图谱数据，简化教学资源准备工作。提供一键展开或收起问题层级连线功能，便于用户查看问题结构。</w:t>
            </w:r>
          </w:p>
          <w:p w14:paraId="6177FF0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四、图谱学习管理系统</w:t>
            </w:r>
          </w:p>
          <w:p w14:paraId="53801C9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1.支持按照知识点，系统智能推荐拓展资源给学生学习。</w:t>
            </w:r>
          </w:p>
          <w:p w14:paraId="74D6A82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2.支持建设知识图谱、目标图谱、问题图谱、课程思政图谱，并支持自定义图谱，以满足不同老师教学需求，课程目标图谱需要体现课程达成度和课程目标达成度的达成情况。</w:t>
            </w:r>
          </w:p>
          <w:p w14:paraId="69FD8FF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3.支持学生查看基于知识点的智能学习路径，系统根据学生知识点掌握情况，智能规划知识点学习路径，学生可以按学习路径进行知识点的学习和巩固。</w:t>
            </w:r>
          </w:p>
          <w:p w14:paraId="3F89191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支持学生查看学习地图、知识图谱、问题图谱、目标图谱，知识点掌握率用不同颜色标记，提供掌握率及对应颜色的图注；基于知识点展示完成率、掌握率，智能规划学习路径，学习知识点微课，微课内容包含学习内容、作业、考试、知识点统计等栏目。</w:t>
            </w:r>
          </w:p>
          <w:p w14:paraId="0994C58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5.图谱学习管理系统支持知识点卡片功能，可以展示学生当前知识点完成率和掌握率以及当前知识点下所包含的资源书数；</w:t>
            </w:r>
          </w:p>
          <w:p w14:paraId="2B6A7FA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6.图谱学习管理系统可以根据学生的学习行为数据及掌握情况智能生成个性化学习路径。</w:t>
            </w:r>
          </w:p>
          <w:p w14:paraId="2FB0A2B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7.通过图谱微课学生可以在讨论区发起新话题、互动点赞和回复，增强学习趣味性和社区参与度。</w:t>
            </w:r>
          </w:p>
          <w:p w14:paraId="265FB11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8.系统为学生提供了多种不同类型的资源以供学习和探索，包括云盘资源、视频、图片、文档、测验等，能够确保学习材料的丰富性和多样性；</w:t>
            </w:r>
          </w:p>
          <w:p w14:paraId="4019419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9.图谱知识点学习支持错题集功能，可将学生学习过程中产生的错题归类到知识点下的错题集中；</w:t>
            </w:r>
          </w:p>
          <w:p w14:paraId="23F69C0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五、图谱统计与分析系统</w:t>
            </w:r>
          </w:p>
          <w:p w14:paraId="46CC34F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1.支持教师选择多个不同班级进行学情数据对比，对比内容包括班级掌握率、班级完成率、完成率区间对比与掌握率区间对比等数据。通过班级对比分析，便于教师更好地了解不同班级间的学习差异。</w:t>
            </w:r>
          </w:p>
          <w:p w14:paraId="23180C8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支持教师查看知识图谱的知识点建设情况，包括知识点建设率、图谱知识点总数、图谱关联资源知识点数、已设置标签的知识点数、图谱未关联资源知识点数等；支持查看不同知识点属性概况数据；支持查看图谱资源总数，关联视频、音频、文档、题目及其他类型资源数等；支持查看知识点关联资源数量排行榜。</w:t>
            </w:r>
          </w:p>
          <w:p w14:paraId="6CA6082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3.支持学生查看自己单个分类、知识点的统计分析详情，包括完成情况、掌握情况、知识点关联的学习任务完成详情等。</w:t>
            </w:r>
          </w:p>
          <w:p w14:paraId="3893FAA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4.支持教师查看不同班级的学情数据，包括每个知识点的完成率与掌握率、知识点热度、完成率与掌握率的学情分段人数、学生完成率与掌握率排行情况等数据。</w:t>
            </w:r>
          </w:p>
          <w:p w14:paraId="200429A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5.支持教师依据知识点的属性或分类层级，灵活选取多样的评价维度，进而生成学生或班级画像。通过统计各维度知识点的完成率与掌握率，精准了解和分析班级或学生的学习状况。</w:t>
            </w:r>
          </w:p>
          <w:p w14:paraId="5ABE694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6.支持教师查看知识点名称、关联学习资源数、任务点数量、考试、作业、章节测验、平均完成率、平均掌握率等数据，并可以通过详情查看学生对知识点的完成与掌握情况。</w:t>
            </w:r>
          </w:p>
          <w:p w14:paraId="55D95D1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7.支持教师查看学生平均完成率、平均掌握率，并通过详情查看每个学生对知识点的完成与掌握情况。包括学生知识点的完成情况、掌握情况、知识点关联的学习任务完成详情等以及查看此知识点的课程资源和系统推荐的电子图书、课程等拓展资源。</w:t>
            </w:r>
          </w:p>
          <w:p w14:paraId="0ED56A8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8.支持学生查看本人的知识点统计分析，包括每个分类、知识点的完成情况、掌握情况、课程资料阅读情况等。</w:t>
            </w:r>
          </w:p>
          <w:p w14:paraId="1B0793C2">
            <w:pPr>
              <w:widowControl/>
              <w:jc w:val="left"/>
              <w:textAlignment w:val="bottom"/>
              <w:rPr>
                <w:rFonts w:ascii="宋体" w:hAnsi="宋体" w:cs="宋体"/>
                <w:color w:val="000000"/>
                <w:kern w:val="0"/>
                <w:szCs w:val="21"/>
              </w:rPr>
            </w:pPr>
            <w:r>
              <w:rPr>
                <w:rFonts w:hint="eastAsia" w:ascii="宋体" w:hAnsi="宋体" w:cs="宋体"/>
                <w:color w:val="000000"/>
                <w:kern w:val="0"/>
                <w:szCs w:val="21"/>
              </w:rPr>
              <w:t>9.系统支持学生通过知识点统计知识点个数关联的资源个数完成率情况及掌握率情况。</w:t>
            </w:r>
          </w:p>
        </w:tc>
        <w:tc>
          <w:tcPr>
            <w:tcW w:w="79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CBC392B">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716"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BE9E93C">
            <w:pPr>
              <w:widowControl/>
              <w:jc w:val="center"/>
              <w:textAlignment w:val="center"/>
              <w:rPr>
                <w:rFonts w:ascii="宋体" w:hAnsi="宋体" w:cs="宋体"/>
                <w:color w:val="000000"/>
                <w:kern w:val="0"/>
                <w:sz w:val="22"/>
                <w:szCs w:val="22"/>
              </w:rPr>
            </w:pPr>
            <w:r>
              <w:rPr>
                <w:rFonts w:ascii="宋体" w:hAnsi="宋体" w:cs="宋体"/>
                <w:color w:val="000000"/>
                <w:kern w:val="0"/>
                <w:sz w:val="22"/>
                <w:szCs w:val="22"/>
              </w:rPr>
              <w:t>3</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568A1">
            <w:pPr>
              <w:widowControl/>
              <w:jc w:val="left"/>
              <w:textAlignment w:val="center"/>
              <w:rPr>
                <w:rFonts w:ascii="宋体" w:hAnsi="宋体" w:cs="宋体"/>
                <w:color w:val="000000"/>
                <w:kern w:val="0"/>
                <w:sz w:val="22"/>
                <w:szCs w:val="22"/>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BCD6B">
            <w:pPr>
              <w:widowControl/>
              <w:jc w:val="left"/>
              <w:textAlignment w:val="center"/>
              <w:rPr>
                <w:rFonts w:ascii="宋体" w:hAnsi="宋体" w:cs="宋体"/>
                <w:color w:val="000000"/>
                <w:kern w:val="0"/>
                <w:sz w:val="22"/>
                <w:szCs w:val="22"/>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44F0B">
            <w:pPr>
              <w:widowControl/>
              <w:jc w:val="left"/>
              <w:textAlignment w:val="center"/>
              <w:rPr>
                <w:rFonts w:ascii="宋体" w:hAnsi="宋体" w:cs="宋体"/>
                <w:color w:val="000000"/>
                <w:kern w:val="0"/>
                <w:sz w:val="22"/>
                <w:szCs w:val="22"/>
              </w:rPr>
            </w:pPr>
          </w:p>
        </w:tc>
      </w:tr>
      <w:tr w14:paraId="5254D07E">
        <w:tblPrEx>
          <w:tblCellMar>
            <w:top w:w="0" w:type="dxa"/>
            <w:left w:w="108" w:type="dxa"/>
            <w:bottom w:w="0" w:type="dxa"/>
            <w:right w:w="108" w:type="dxa"/>
          </w:tblCellMar>
        </w:tblPrEx>
        <w:trPr>
          <w:trHeight w:val="304"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tcPr>
          <w:p w14:paraId="77B40552">
            <w:pPr>
              <w:widowControl/>
              <w:jc w:val="center"/>
              <w:textAlignment w:val="center"/>
              <w:rPr>
                <w:rFonts w:ascii="宋体" w:hAnsi="宋体" w:cs="宋体"/>
                <w:color w:val="000000"/>
                <w:kern w:val="0"/>
                <w:sz w:val="22"/>
                <w:szCs w:val="22"/>
              </w:rPr>
            </w:pPr>
          </w:p>
          <w:p w14:paraId="503D23D5">
            <w:pPr>
              <w:widowControl/>
              <w:jc w:val="center"/>
              <w:textAlignment w:val="center"/>
              <w:rPr>
                <w:rFonts w:ascii="宋体" w:hAnsi="宋体" w:cs="宋体"/>
                <w:color w:val="000000"/>
                <w:kern w:val="0"/>
                <w:sz w:val="22"/>
                <w:szCs w:val="22"/>
              </w:rPr>
            </w:pPr>
          </w:p>
          <w:p w14:paraId="549484C2">
            <w:pPr>
              <w:widowControl/>
              <w:jc w:val="center"/>
              <w:textAlignment w:val="center"/>
              <w:rPr>
                <w:rFonts w:ascii="宋体" w:hAnsi="宋体" w:cs="宋体"/>
                <w:color w:val="000000"/>
                <w:kern w:val="0"/>
                <w:sz w:val="22"/>
                <w:szCs w:val="22"/>
              </w:rPr>
            </w:pPr>
          </w:p>
          <w:p w14:paraId="60B5F345">
            <w:pPr>
              <w:widowControl/>
              <w:jc w:val="center"/>
              <w:textAlignment w:val="center"/>
              <w:rPr>
                <w:rFonts w:ascii="宋体" w:hAnsi="宋体" w:cs="宋体"/>
                <w:color w:val="000000"/>
                <w:kern w:val="0"/>
                <w:sz w:val="22"/>
                <w:szCs w:val="22"/>
              </w:rPr>
            </w:pPr>
          </w:p>
          <w:p w14:paraId="3F429461">
            <w:pPr>
              <w:widowControl/>
              <w:jc w:val="center"/>
              <w:textAlignment w:val="center"/>
              <w:rPr>
                <w:rFonts w:ascii="宋体" w:hAnsi="宋体" w:cs="宋体"/>
                <w:color w:val="000000"/>
                <w:kern w:val="0"/>
                <w:sz w:val="22"/>
                <w:szCs w:val="22"/>
              </w:rPr>
            </w:pPr>
          </w:p>
          <w:p w14:paraId="78431FCE">
            <w:pPr>
              <w:widowControl/>
              <w:jc w:val="center"/>
              <w:textAlignment w:val="center"/>
              <w:rPr>
                <w:rFonts w:ascii="宋体" w:hAnsi="宋体" w:cs="宋体"/>
                <w:color w:val="000000"/>
                <w:kern w:val="0"/>
                <w:sz w:val="22"/>
                <w:szCs w:val="22"/>
              </w:rPr>
            </w:pPr>
          </w:p>
          <w:p w14:paraId="4228287B">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FFFFFF"/>
          </w:tcPr>
          <w:p w14:paraId="19A5E043">
            <w:pPr>
              <w:widowControl/>
              <w:jc w:val="center"/>
              <w:textAlignment w:val="center"/>
              <w:rPr>
                <w:rFonts w:ascii="方正仿宋_GBK" w:hAnsi="方正仿宋_GBK" w:eastAsia="方正仿宋_GBK" w:cs="方正仿宋_GBK"/>
                <w:color w:val="05073B"/>
                <w:sz w:val="24"/>
                <w:shd w:val="clear" w:color="auto" w:fill="FDFDFE"/>
              </w:rPr>
            </w:pPr>
          </w:p>
          <w:p w14:paraId="0B991B32">
            <w:pPr>
              <w:widowControl/>
              <w:jc w:val="center"/>
              <w:textAlignment w:val="center"/>
              <w:rPr>
                <w:rFonts w:ascii="方正仿宋_GBK" w:hAnsi="方正仿宋_GBK" w:eastAsia="方正仿宋_GBK" w:cs="方正仿宋_GBK"/>
                <w:color w:val="05073B"/>
                <w:sz w:val="24"/>
                <w:shd w:val="clear" w:color="auto" w:fill="FDFDFE"/>
              </w:rPr>
            </w:pPr>
          </w:p>
          <w:p w14:paraId="0BB51121">
            <w:pPr>
              <w:widowControl/>
              <w:jc w:val="center"/>
              <w:textAlignment w:val="center"/>
              <w:rPr>
                <w:rFonts w:ascii="方正仿宋_GBK" w:hAnsi="方正仿宋_GBK" w:eastAsia="方正仿宋_GBK" w:cs="方正仿宋_GBK"/>
                <w:color w:val="05073B"/>
                <w:sz w:val="24"/>
                <w:shd w:val="clear" w:color="auto" w:fill="FDFDFE"/>
              </w:rPr>
            </w:pPr>
          </w:p>
          <w:p w14:paraId="3C5EC8CC">
            <w:pPr>
              <w:widowControl/>
              <w:jc w:val="center"/>
              <w:textAlignment w:val="center"/>
              <w:rPr>
                <w:rFonts w:ascii="宋体" w:hAnsi="宋体" w:cs="宋体"/>
                <w:color w:val="000000"/>
                <w:kern w:val="0"/>
                <w:sz w:val="22"/>
                <w:szCs w:val="22"/>
              </w:rPr>
            </w:pPr>
            <w:r>
              <w:rPr>
                <w:rFonts w:hint="eastAsia" w:ascii="方正仿宋_GBK" w:hAnsi="方正仿宋_GBK" w:eastAsia="方正仿宋_GBK" w:cs="方正仿宋_GBK"/>
                <w:color w:val="05073B"/>
                <w:sz w:val="24"/>
                <w:shd w:val="clear" w:color="auto" w:fill="FDFDFE"/>
              </w:rPr>
              <w:t>课程AI教学工具应用</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2197">
            <w:pPr>
              <w:widowControl/>
              <w:jc w:val="center"/>
              <w:textAlignment w:val="bottom"/>
              <w:rPr>
                <w:rFonts w:ascii="宋体" w:hAnsi="宋体" w:cs="宋体"/>
                <w:color w:val="000000"/>
                <w:kern w:val="0"/>
                <w:sz w:val="24"/>
              </w:rPr>
            </w:pP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099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一、AI教学工具应用</w:t>
            </w:r>
          </w:p>
          <w:p w14:paraId="6F1088D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1.AI章节写作：用户可以向智能写作助手提出需求，写作助手会根据要求创作相应的内容，用户点击保存可以将内容输出到章节编辑页面上。</w:t>
            </w:r>
          </w:p>
          <w:p w14:paraId="685EC00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支持听力题AI语音生成，用户可以通过输入文本，让AI系统生成相应的语音内容，以用于听力练习或考试。文本输入：用户可以输入对话或文本内容，例如听力材料、对话内容等。音频生成：AI系统可以根据输入的文本内容自动生成对应的语音内容，包括男性和女性不同音色的声音。</w:t>
            </w:r>
          </w:p>
          <w:p w14:paraId="15F8B1D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AI生成知识点教案：用户选择已经建设好的知识点或输入关键词，AI自动生成教案，并支持用户借助写作助手进行再次编辑。支持用户补充所教层次、适合的教学风格，形成更加具有个性化的教案。支持一键导出教案。</w:t>
            </w:r>
          </w:p>
          <w:p w14:paraId="00CA756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4.AI自动构建PPT：通过输入PPT内容要求，AI智能生成PPT大纲，支持用户在线直接编辑生成的大纲内容，确认无误后，AI自动根据大纲生成PPT，用户可以选择PPT模板。</w:t>
            </w:r>
          </w:p>
          <w:p w14:paraId="72066EB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5.AI自动创建绘画：根据用户输入的需求，自动生图片，增加艺术教育与创新。</w:t>
            </w:r>
          </w:p>
          <w:p w14:paraId="7BD175A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6.智能课表：支持与教务系统对接，可以展示当前学期个人课表信息，同时具备手工添加课表功能，可以设置关联线上课程、编写教案、关联网络班级、编辑上课周次、上课时间、节次、节数、上课地点等，上课地点支持填写线下地点和线上地点，线上地点支持和腾讯会议、zoom等会议软件对接。通过课表用户可以直接发起直播和课堂活动，通过课表可以直接进入在线课程展开教学。【本条需演示，详见评审标准】</w:t>
            </w:r>
          </w:p>
          <w:p w14:paraId="2D9CA9D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7.章节内容审查，文本纠错：可帮助用户实现文字自动校对，包括错字、漏字、缺字、多字、语法、错误、语义错误等都可以实现自动校对标注。</w:t>
            </w:r>
          </w:p>
          <w:p w14:paraId="6E2C934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8.AI智能编辑：支持选中章节或者教案内的需要修改的一段文字，支持精简、润色或扩写，智能编辑助手能够根据需求提供合适的编辑建议。</w:t>
            </w:r>
          </w:p>
          <w:p w14:paraId="3F1A82B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9.支持进行作业查重，对于简答题、论述题等主观题，不仅能全文比对海量资源库数据，还能进行班级内、课程内和校内自建库的全方位比对，并生成详实的检测报告。</w:t>
            </w:r>
          </w:p>
          <w:p w14:paraId="7714F58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10.AI智能出题：支持用户通过输入相关的教学材料和知识点，AI系统可以自动生成对应的题目并且不限制用户使用次数。</w:t>
            </w:r>
          </w:p>
          <w:p w14:paraId="7A1D0AF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11.支持口语测评题，用户可以输入需要学生跟读的文本，学生通过系统录制跟读的音频，系统将对录音进行语音分析评估其完整度、准确度和流利度，并给出针对性的评分和反馈意见。</w:t>
            </w:r>
          </w:p>
          <w:p w14:paraId="473AC9E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12.AI批阅程序题，能够自动对学生提交的代码进行评分和反馈。AI会根据预先设定的评分标准和规则，对学生提交的代码进行自动评分，包括代码质量、逻辑正确性、语法规范等方面，AI可以分析代码的复杂度，指出可能存在的改进空间，帮助学生提高代码的效率和可读性，教师可以根据AI的评分结果和反馈，为学生提供个性化的指导和辅导。</w:t>
            </w:r>
          </w:p>
          <w:p w14:paraId="3560557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13.智能批阅：使用先进的AI技术，能够批阅学生的语文或者英语作文。系统会从结构、内容、语言等6个大维度，12～16个细分维度进行打分，并给出推荐总分。</w:t>
            </w:r>
          </w:p>
          <w:p w14:paraId="4BBCB3E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14.学生可以在写作题作答时直接上传已写好作文的图片。系统能够准确识别各种字体、大小和语言的文字。无论是手写的笔记，还是打印好的写作纸，都能够自动识别并提取图片中的文字内容，将其转化为可编辑的文本格式。</w:t>
            </w:r>
          </w:p>
          <w:p w14:paraId="214EFC7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15.文献阅读：通过大模型快速阅读和理解文字内容，自动生成词云、摘要、脑图、试题，基于自然对话方式进行问题回答。同时也支持针对章节、资料中的文档，支持AI进行解析，生成文档摘要、脑图及词云。</w:t>
            </w:r>
          </w:p>
          <w:p w14:paraId="6E39112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16.视频理解：借助AI视频分析解读功能，实现机器问答、视频内容词云、脑图、试题、字幕生成等功能，视频中涉及的知识点将被自动识别并形成知识点片段和知识点词云。同时也支持针对章节中的视频，支持AI进行解析，生成视频摘要、视频分段总结、提取知识点、生成思维导图。</w:t>
            </w:r>
          </w:p>
          <w:p w14:paraId="1E5361B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17.对课程建设系统中的视频进行智能分析，自动匹配课程中的知识点，并在视频对应的时间点进行自动打点，同时基于人工智能技术生成知识点词云分析并展示；视频播放时学生可以定位到时间点观看对应知识点的视频讲解。</w:t>
            </w:r>
          </w:p>
          <w:p w14:paraId="7FD8F9B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18.通过大模型实时翻译，实现学术文献中英文对照阅读。</w:t>
            </w:r>
          </w:p>
          <w:p w14:paraId="41F0662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19.公式识别：用户录入公式后，系统自动将图片公式分析出来并可转换为latex公式。</w:t>
            </w:r>
          </w:p>
          <w:p w14:paraId="3E8ABDA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20.学情分析：支持根据平台学生学习情况或者上传excel文档，用户选择需要分析维度，自动进行学生学情分析。</w:t>
            </w:r>
          </w:p>
          <w:p w14:paraId="6B9A9C5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21.根据每个学生的错题和知识点掌握率，自动为学生进行薄弱知识点的辅导，可以根据学生错题和知识点掌握率优先推送薄弱知识点相关的题目。后续将支持生成相似题、变式题的个性化练习，帮助学生加强知识点理解。</w:t>
            </w:r>
          </w:p>
          <w:p w14:paraId="256B917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22.AI学情分析：针对班级学情数据进行分析，可一键生成学生个人画像；班级学生分层画像，将班级学生分布自动划分为发展层、期望层、跃进层、提高层，并给出具体的教学建议，帮助用户开展精准教学。</w:t>
            </w:r>
          </w:p>
          <w:p w14:paraId="2AB7509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23.AI试卷质量分析：支持从题型题量、难易度、知识点覆盖以及题目质量等多个关键维度，对试卷质量进行深入、细致地评估，并提供相应建议。</w:t>
            </w:r>
          </w:p>
          <w:p w14:paraId="559AFDE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24.支持根据AI推荐知识点，给题目一键关联知识点，健全知识图谱建设；老师可以进行AI一键换题操作，快速获取更优质、更合适的题目，提高试卷编撰效率和质量。</w:t>
            </w:r>
          </w:p>
          <w:p w14:paraId="360B735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25.内容安全检测：支持敏感文本、图片、文档在线检测功能；支持自定义敏感关键词、敏感忽略词、用户黑白名单、图片名单。支持通过用户风险统计、垃圾发布量、垃圾发布率的维度统计用户风险。【本条需演示，详见评审标准】</w:t>
            </w:r>
          </w:p>
          <w:p w14:paraId="7054A41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26.课程专属智能体建设：根据学校配置，完成指定通用大语言模型或多个通用大模型对接。</w:t>
            </w:r>
          </w:p>
          <w:p w14:paraId="7A27541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（1）问答库数据结构设计</w:t>
            </w:r>
          </w:p>
          <w:p w14:paraId="51D161C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数据结构规划：设计高效存储与检索结构，确保快速响应与精准匹配。</w:t>
            </w:r>
          </w:p>
          <w:p w14:paraId="689FDE8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技术选型：采用自然语言处理（NLP）引擎等AI框架，支持智能语义理解与问答匹配。</w:t>
            </w:r>
          </w:p>
          <w:p w14:paraId="58291B2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（2）问答对收集与验证</w:t>
            </w:r>
          </w:p>
          <w:p w14:paraId="3C03FB9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内容收集：整合课程资源、电子书、论文、网络资源等多渠道素材。</w:t>
            </w:r>
          </w:p>
          <w:p w14:paraId="7FD7A7D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质量审核：课程负责人逐条审核问答对，确保准确性、适用性与教育性。</w:t>
            </w:r>
          </w:p>
          <w:p w14:paraId="0F4E069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标准化处理：统一问答格式与表述风格，提升整体质量。</w:t>
            </w:r>
          </w:p>
          <w:p w14:paraId="3F5EDC7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27.知识库建设</w:t>
            </w:r>
          </w:p>
          <w:p w14:paraId="353BA6E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（1）资源上传与训练</w:t>
            </w:r>
          </w:p>
          <w:p w14:paraId="4C7DD8A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支持编辑视频、文档、图片、音频、公式等全媒体资源；</w:t>
            </w:r>
          </w:p>
          <w:p w14:paraId="12EE8E5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支持从Word直接复制粘贴内容，保留图文格式；</w:t>
            </w:r>
          </w:p>
          <w:p w14:paraId="64D74E2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支持rmvb、mp4、avi等高清与网络格式视频上传与播放；</w:t>
            </w:r>
          </w:p>
          <w:p w14:paraId="32DD66D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支持上传2G以上大文件；</w:t>
            </w:r>
          </w:p>
          <w:p w14:paraId="72BEFC9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支持查看资源上传状态及训练来源；</w:t>
            </w:r>
          </w:p>
          <w:p w14:paraId="23EC95A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支持按时间范围查看上传记录；</w:t>
            </w:r>
          </w:p>
          <w:p w14:paraId="46350FA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支持任务中心监控训练进程；</w:t>
            </w:r>
          </w:p>
          <w:p w14:paraId="7CA5CB5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支持文件分类、批量删除与重命名；</w:t>
            </w:r>
          </w:p>
          <w:p w14:paraId="7F777EE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（2）在线课程自我训练</w:t>
            </w:r>
          </w:p>
          <w:p w14:paraId="264B84B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（3）服务平台支持训练课程专属智能体，支持一键同步在线课程，并增量同步在线课程，支持对接文献库，一次性导入不少于25本课程相关书籍，进行知识库训练。</w:t>
            </w:r>
          </w:p>
          <w:p w14:paraId="3A2E0CA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28.AI问答库建设</w:t>
            </w:r>
          </w:p>
          <w:p w14:paraId="13A8762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支持无限制添加、编辑、删除问答分类与规则；</w:t>
            </w:r>
          </w:p>
          <w:p w14:paraId="40C8957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支持批量导入/导出问答规则，答案支持文本、图片、视频、链接等混合内容；</w:t>
            </w:r>
          </w:p>
          <w:p w14:paraId="6A1A1ED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支持关联微应用（本单位既有应用与自建应用）；</w:t>
            </w:r>
          </w:p>
          <w:p w14:paraId="071EE61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支持问题标签管理及智能问答提示；</w:t>
            </w:r>
          </w:p>
          <w:p w14:paraId="476CF59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支持上传文档解析后智能回答相关问题；</w:t>
            </w:r>
          </w:p>
          <w:p w14:paraId="3A166C6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支持同步校本网络课程资料并解析，实现课程内容问答；</w:t>
            </w:r>
          </w:p>
          <w:p w14:paraId="0949C7B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支持语义相似度推荐与未知问题自定义回复；</w:t>
            </w:r>
          </w:p>
          <w:p w14:paraId="6E7FB3E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支持欢迎语与阈值自定义设置；</w:t>
            </w:r>
          </w:p>
          <w:p w14:paraId="3426CCB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29.AI智能数字人交互与资源推荐</w:t>
            </w:r>
          </w:p>
          <w:p w14:paraId="4F8849B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支持多轮对话与语音输入提问；</w:t>
            </w:r>
          </w:p>
          <w:p w14:paraId="3A81DFE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支持图片上传识别问题及文档解析问答；</w:t>
            </w:r>
          </w:p>
          <w:p w14:paraId="23769D1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支持用户自主选择是否接收大模型回复；</w:t>
            </w:r>
          </w:p>
          <w:p w14:paraId="187674B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答案显示来源并支持跳转至原文学习；</w:t>
            </w:r>
          </w:p>
          <w:p w14:paraId="1367A09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支持提炼文档概述、导图及生成相关问答；</w:t>
            </w:r>
          </w:p>
          <w:p w14:paraId="0989799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用户可反馈答案满意度，后台记录并优化问答库；</w:t>
            </w:r>
          </w:p>
          <w:p w14:paraId="7A0B0F9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支持通过AI助教问答，实现智能推荐关联的微应用，开展便捷的智能辅助教学。</w:t>
            </w:r>
          </w:p>
          <w:p w14:paraId="1561FD5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支持移动端与PC端访问。</w:t>
            </w:r>
          </w:p>
          <w:p w14:paraId="6B415C4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30.数据统计</w:t>
            </w:r>
          </w:p>
          <w:p w14:paraId="457F0AC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自动聚类统计未知问题关键词，按频率排序并批量导出；</w:t>
            </w:r>
          </w:p>
          <w:p w14:paraId="35CD6A9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支持按时间、渠道筛选历史会话并导出内容；</w:t>
            </w:r>
          </w:p>
          <w:p w14:paraId="247F8EE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统计访客访问趋势、地区分布及问答匹配率、满意率；</w:t>
            </w:r>
          </w:p>
          <w:p w14:paraId="4C992E0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分析热门问答、回复类型占比及分类问答比率；</w:t>
            </w:r>
          </w:p>
          <w:p w14:paraId="2B875F5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31.个性化智能体开发</w:t>
            </w:r>
          </w:p>
          <w:p w14:paraId="036076A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定制个性化智能体，模拟教师、助教、学习伙伴等角色，支持不同教学情境下的互动与服务。智能体将具备情感识别与个性化反馈能力，提升学生的学习体验与参与度。</w:t>
            </w:r>
          </w:p>
          <w:p w14:paraId="26B592E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需求分析与目标设定：明确智能体服务的具体需求，如课程引导答疑、情感支持、智能问诊、案例生成、编程助手等。设定清晰的目标，以指导后续的设计和实施。</w:t>
            </w:r>
          </w:p>
          <w:p w14:paraId="1ED28443">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设计工作流：根据项目需要，能将复杂任务拆解为多个子任务，设计工作流。</w:t>
            </w:r>
          </w:p>
          <w:p w14:paraId="0D28C2F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集成课程资源：将课程知识库整合到智能体中，确保其能够提供准确和丰富的课程信息。</w:t>
            </w:r>
          </w:p>
          <w:p w14:paraId="6FCCB2F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测试与优化：在实际应用前，进行全面的测试，收集用户反馈，及时优化工作流和智能体的功能，确保其稳定性和实用性。</w:t>
            </w:r>
          </w:p>
          <w:p w14:paraId="1AFB2FF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开发与集成：设计智能体接口与学校现有教学管理系统、学习平台等进行集成，确保数据的流畅传递和系统的协同工作。并支持PC、移动端、平板等多种终端设备，确保师生在不同设备上都能顺畅使用智能体服务。</w:t>
            </w:r>
          </w:p>
          <w:p w14:paraId="7F841608">
            <w:pPr>
              <w:widowControl/>
              <w:jc w:val="left"/>
              <w:textAlignment w:val="bottom"/>
              <w:rPr>
                <w:rFonts w:ascii="宋体" w:hAnsi="宋体" w:cs="宋体"/>
                <w:color w:val="000000"/>
                <w:kern w:val="0"/>
                <w:szCs w:val="21"/>
              </w:rPr>
            </w:pPr>
            <w:r>
              <w:rPr>
                <w:rFonts w:hint="eastAsia" w:ascii="宋体" w:hAnsi="宋体" w:cs="宋体"/>
                <w:color w:val="000000"/>
                <w:kern w:val="0"/>
                <w:szCs w:val="21"/>
              </w:rPr>
              <w:t>支持提供便捷的智慧课程门户搭建服务，课程编辑页面设计直观易用，支持原位编辑等操作。并可在课程门户界面体现教师介绍等内容。平台允许自由编写和配置课程简介、封面图片等信息，并支持随意添加、删除或调整课程模块顺序。模块内容可采用富媒体形式进行编辑，可上传多种格式的内容，便于用户进行内容维护。【本条需演示，详见评审标准】</w:t>
            </w:r>
          </w:p>
        </w:tc>
        <w:tc>
          <w:tcPr>
            <w:tcW w:w="79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94E2CD7">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716"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71AF85E">
            <w:pPr>
              <w:widowControl/>
              <w:jc w:val="center"/>
              <w:textAlignment w:val="center"/>
              <w:rPr>
                <w:rFonts w:ascii="宋体" w:hAnsi="宋体" w:cs="宋体"/>
                <w:color w:val="000000"/>
                <w:kern w:val="0"/>
                <w:sz w:val="22"/>
                <w:szCs w:val="22"/>
              </w:rPr>
            </w:pPr>
            <w:r>
              <w:rPr>
                <w:rFonts w:ascii="宋体" w:hAnsi="宋体" w:cs="宋体"/>
                <w:color w:val="000000"/>
                <w:kern w:val="0"/>
                <w:sz w:val="22"/>
                <w:szCs w:val="22"/>
              </w:rPr>
              <w:t>3</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6F3D6">
            <w:pPr>
              <w:widowControl/>
              <w:jc w:val="left"/>
              <w:textAlignment w:val="center"/>
              <w:rPr>
                <w:rFonts w:ascii="宋体" w:hAnsi="宋体" w:cs="宋体"/>
                <w:color w:val="000000"/>
                <w:kern w:val="0"/>
                <w:sz w:val="22"/>
                <w:szCs w:val="22"/>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50960">
            <w:pPr>
              <w:widowControl/>
              <w:jc w:val="left"/>
              <w:textAlignment w:val="center"/>
              <w:rPr>
                <w:rFonts w:ascii="宋体" w:hAnsi="宋体" w:cs="宋体"/>
                <w:color w:val="000000"/>
                <w:kern w:val="0"/>
                <w:sz w:val="22"/>
                <w:szCs w:val="22"/>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556EF">
            <w:pPr>
              <w:widowControl/>
              <w:jc w:val="left"/>
              <w:textAlignment w:val="center"/>
              <w:rPr>
                <w:rFonts w:ascii="宋体" w:hAnsi="宋体" w:cs="宋体"/>
                <w:color w:val="000000"/>
                <w:kern w:val="0"/>
                <w:sz w:val="22"/>
                <w:szCs w:val="22"/>
              </w:rPr>
            </w:pPr>
          </w:p>
        </w:tc>
      </w:tr>
      <w:tr w14:paraId="647E2CF4">
        <w:tblPrEx>
          <w:tblCellMar>
            <w:top w:w="0" w:type="dxa"/>
            <w:left w:w="108" w:type="dxa"/>
            <w:bottom w:w="0" w:type="dxa"/>
            <w:right w:w="108" w:type="dxa"/>
          </w:tblCellMar>
        </w:tblPrEx>
        <w:trPr>
          <w:trHeight w:val="304"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tcPr>
          <w:p w14:paraId="1ACF5F27">
            <w:pPr>
              <w:widowControl/>
              <w:jc w:val="center"/>
              <w:textAlignment w:val="center"/>
              <w:rPr>
                <w:rFonts w:ascii="宋体" w:hAnsi="宋体" w:cs="宋体"/>
                <w:color w:val="000000"/>
                <w:kern w:val="0"/>
                <w:sz w:val="22"/>
                <w:szCs w:val="22"/>
              </w:rPr>
            </w:pPr>
          </w:p>
          <w:p w14:paraId="20821E02">
            <w:pPr>
              <w:widowControl/>
              <w:jc w:val="center"/>
              <w:textAlignment w:val="center"/>
              <w:rPr>
                <w:rFonts w:ascii="宋体" w:hAnsi="宋体" w:cs="宋体"/>
                <w:color w:val="000000"/>
                <w:kern w:val="0"/>
                <w:sz w:val="22"/>
                <w:szCs w:val="22"/>
              </w:rPr>
            </w:pPr>
          </w:p>
          <w:p w14:paraId="3AC5E71A">
            <w:pPr>
              <w:widowControl/>
              <w:jc w:val="center"/>
              <w:textAlignment w:val="center"/>
              <w:rPr>
                <w:rFonts w:ascii="宋体" w:hAnsi="宋体" w:cs="宋体"/>
                <w:color w:val="000000"/>
                <w:kern w:val="0"/>
                <w:sz w:val="22"/>
                <w:szCs w:val="22"/>
              </w:rPr>
            </w:pPr>
          </w:p>
          <w:p w14:paraId="553FA902">
            <w:pPr>
              <w:widowControl/>
              <w:jc w:val="center"/>
              <w:textAlignment w:val="center"/>
              <w:rPr>
                <w:rFonts w:ascii="宋体" w:hAnsi="宋体" w:cs="宋体"/>
                <w:color w:val="000000"/>
                <w:kern w:val="0"/>
                <w:sz w:val="22"/>
                <w:szCs w:val="22"/>
              </w:rPr>
            </w:pPr>
          </w:p>
          <w:p w14:paraId="0643A665">
            <w:pPr>
              <w:widowControl/>
              <w:jc w:val="center"/>
              <w:textAlignment w:val="center"/>
              <w:rPr>
                <w:rFonts w:ascii="宋体" w:hAnsi="宋体" w:cs="宋体"/>
                <w:color w:val="000000"/>
                <w:kern w:val="0"/>
                <w:sz w:val="22"/>
                <w:szCs w:val="22"/>
              </w:rPr>
            </w:pPr>
          </w:p>
          <w:p w14:paraId="6C531D0C">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FFFFFF"/>
          </w:tcPr>
          <w:p w14:paraId="4B8E4394">
            <w:pPr>
              <w:widowControl/>
              <w:jc w:val="center"/>
              <w:textAlignment w:val="center"/>
              <w:rPr>
                <w:rFonts w:ascii="方正仿宋_GBK" w:hAnsi="方正仿宋_GBK" w:eastAsia="方正仿宋_GBK" w:cs="方正仿宋_GBK"/>
                <w:color w:val="05073B"/>
                <w:sz w:val="24"/>
                <w:shd w:val="clear" w:color="auto" w:fill="FDFDFE"/>
              </w:rPr>
            </w:pPr>
          </w:p>
          <w:p w14:paraId="2BC36619">
            <w:pPr>
              <w:widowControl/>
              <w:jc w:val="center"/>
              <w:textAlignment w:val="center"/>
              <w:rPr>
                <w:rFonts w:ascii="方正仿宋_GBK" w:hAnsi="方正仿宋_GBK" w:eastAsia="方正仿宋_GBK" w:cs="方正仿宋_GBK"/>
                <w:color w:val="05073B"/>
                <w:sz w:val="24"/>
                <w:shd w:val="clear" w:color="auto" w:fill="FDFDFE"/>
              </w:rPr>
            </w:pPr>
          </w:p>
          <w:p w14:paraId="0230A50D">
            <w:pPr>
              <w:widowControl/>
              <w:jc w:val="center"/>
              <w:textAlignment w:val="center"/>
              <w:rPr>
                <w:rFonts w:ascii="宋体" w:hAnsi="宋体" w:cs="宋体"/>
                <w:color w:val="000000"/>
                <w:kern w:val="0"/>
                <w:sz w:val="22"/>
                <w:szCs w:val="22"/>
              </w:rPr>
            </w:pPr>
            <w:r>
              <w:rPr>
                <w:rFonts w:hint="eastAsia" w:ascii="方正仿宋_GBK" w:hAnsi="方正仿宋_GBK" w:eastAsia="方正仿宋_GBK" w:cs="方正仿宋_GBK"/>
                <w:color w:val="05073B"/>
                <w:sz w:val="24"/>
                <w:shd w:val="clear" w:color="auto" w:fill="FDFDFE"/>
              </w:rPr>
              <w:t>课程教学任务引擎搭建</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A0A4">
            <w:pPr>
              <w:widowControl/>
              <w:jc w:val="center"/>
              <w:textAlignment w:val="bottom"/>
              <w:rPr>
                <w:rFonts w:ascii="宋体" w:hAnsi="宋体" w:cs="宋体"/>
                <w:color w:val="000000"/>
                <w:kern w:val="0"/>
                <w:sz w:val="24"/>
              </w:rPr>
            </w:pP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98A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一、教学任务引擎管理</w:t>
            </w:r>
          </w:p>
          <w:p w14:paraId="261A10B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1.教学任务创建与展示</w:t>
            </w:r>
          </w:p>
          <w:p w14:paraId="51001259">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新建教学任务，自定义任务名称、封面、介绍、标签，新建后跳转至任务管理页面。支持按任务名称查询任务，支持删除任务，删除后可在已删除任务中查看并恢复。任务生成后点击保存，任务列表新增一条任务数据。</w:t>
            </w:r>
          </w:p>
          <w:p w14:paraId="0ACCC05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2.教学任务设计与管理</w:t>
            </w:r>
          </w:p>
          <w:p w14:paraId="6BFAB10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（1）教学任务生成方式：</w:t>
            </w:r>
          </w:p>
          <w:p w14:paraId="0B67207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支持AI生成教学任务（按章节、教案、文本或文件生成）；</w:t>
            </w:r>
          </w:p>
          <w:p w14:paraId="0E54EF2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章节生成教学：选择课程章节，每章节生成独立任务；</w:t>
            </w:r>
          </w:p>
          <w:p w14:paraId="6B67DCB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教案生成教学：选择课程教案生成任务；</w:t>
            </w:r>
          </w:p>
          <w:p w14:paraId="0A8C77F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文本生成教学：输入文本或上传文件生成任务；</w:t>
            </w:r>
          </w:p>
          <w:p w14:paraId="49E2D37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（2）教学任务设计功能：</w:t>
            </w:r>
          </w:p>
          <w:p w14:paraId="1DD821F4">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任务分组管理（添加、删除、编辑分组名称及描述），支持编辑任务点基本信息及完成条件（按资源类型差异化设置），支持设置组间完成条件与任务整体达标标准；支持课程中设计教学任务引擎，可设置章节、知识点、线下课堂、线上课堂、作业、考试、问卷、活动等任务类型，满足项目式教学、任务驱动式教学。提供两种设计模式：列表模式、卡片模式；【本条需演示，详见评审标准】</w:t>
            </w:r>
          </w:p>
          <w:p w14:paraId="079B425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（3）教学任务发布与统计：</w:t>
            </w:r>
          </w:p>
          <w:p w14:paraId="6A4BEB8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支持向指定班级发布任务（学生可见性控制）；</w:t>
            </w:r>
          </w:p>
          <w:p w14:paraId="7D9671AD">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（4）统计功能：</w:t>
            </w:r>
          </w:p>
          <w:p w14:paraId="0F93F46F">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查看学生概况（达标状态、学习详情、导出数据）；</w:t>
            </w:r>
          </w:p>
          <w:p w14:paraId="3A15001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查看任务点概况（完成率、筛选导出、督学设置）；</w:t>
            </w:r>
          </w:p>
          <w:p w14:paraId="52B17448">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支持按条件筛选学生或任务点（如完成状态、姓名、类型）；</w:t>
            </w:r>
          </w:p>
          <w:p w14:paraId="7CC6C6A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（5）协作与扩展：</w:t>
            </w:r>
          </w:p>
          <w:p w14:paraId="70BF95A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支持任务克隆（复制至自己或他人）；</w:t>
            </w:r>
          </w:p>
          <w:p w14:paraId="00DC651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支持邀请其他教师共建任务（链接有效期与通知设置）；</w:t>
            </w:r>
          </w:p>
          <w:p w14:paraId="221DB80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支持证书发放（编辑模板、达标自动触发）；</w:t>
            </w:r>
          </w:p>
          <w:p w14:paraId="6928EA1C">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关联目标管理系统（单位配置）；</w:t>
            </w:r>
          </w:p>
          <w:p w14:paraId="61AA212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二、学生任务学习</w:t>
            </w:r>
          </w:p>
          <w:p w14:paraId="56C6C9C1">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任务查看与学习：支持学生在个人空间或课程页面查看任务列表，点击进入任务后可查看任务的基本信息、达标情况和解锁情况。学生可点击任务点进行学习，学习后返回任务详情，查看任务点的最新完成情况及待完成分组、任务点的解锁情况。同时，支持切换不同类型学习路径的列表模式、框架模式、图谱模式，满足个性化学习需求。</w:t>
            </w:r>
          </w:p>
          <w:p w14:paraId="2336E33B">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标与证书管理：支持学生点击达标按钮查看当前任务的达标情况。若任务设置发放证书后，达标后学生可点击证书按钮进行证书查看和下载操作，便于记录和分享学习成果。</w:t>
            </w:r>
          </w:p>
          <w:p w14:paraId="0BB81A6A">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任务查看与学习：支持学生在个人空间或课程页面查看任务列表，点击进入任务后可查看任务的基本信息、达标情况和解锁情况。学生可点击任务点进行学习，学习后返回任务详情，查看任务点的最新完成情况及待完成分组、任务点的解锁情况。同时，支持切换不同类型学习路径的列表模式（支持切换不同栏目查看具体任务内容并完成学习），地图模式、3D小岛模式，满足个性化学习需求。【本条需演示，详见评审标准】</w:t>
            </w:r>
          </w:p>
          <w:p w14:paraId="30DA0F07">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三、AI生成任务专项功能</w:t>
            </w:r>
          </w:p>
          <w:p w14:paraId="387F541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1.生成方式</w:t>
            </w:r>
          </w:p>
          <w:p w14:paraId="07C8BF76">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按章节生成：选择课程章节，一键生成独立任务；</w:t>
            </w:r>
          </w:p>
          <w:p w14:paraId="3B65B695">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按教案生成：基于教案内容自动生成任务框架；</w:t>
            </w:r>
          </w:p>
          <w:p w14:paraId="481A4C1E">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按文本生成：输入文本或上传文件（如课程大纲）生成任务；</w:t>
            </w:r>
          </w:p>
          <w:p w14:paraId="33E6FA82">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2.生成流程</w:t>
            </w:r>
          </w:p>
          <w:p w14:paraId="3F251E60">
            <w:pPr>
              <w:widowControl/>
              <w:jc w:val="left"/>
              <w:textAlignment w:val="bottom"/>
              <w:rPr>
                <w:rFonts w:hint="eastAsia" w:ascii="宋体" w:hAnsi="宋体" w:cs="宋体"/>
                <w:color w:val="000000"/>
                <w:kern w:val="0"/>
                <w:szCs w:val="21"/>
              </w:rPr>
            </w:pPr>
            <w:r>
              <w:rPr>
                <w:rFonts w:hint="eastAsia" w:ascii="宋体" w:hAnsi="宋体" w:cs="宋体"/>
                <w:color w:val="000000"/>
                <w:kern w:val="0"/>
                <w:szCs w:val="21"/>
              </w:rPr>
              <w:t>生成后保存至任务列表（仅基础信息），需进入管理页面完善设计；</w:t>
            </w:r>
          </w:p>
          <w:p w14:paraId="6BCB15F8">
            <w:pPr>
              <w:widowControl/>
              <w:jc w:val="left"/>
              <w:textAlignment w:val="bottom"/>
              <w:rPr>
                <w:rFonts w:ascii="宋体" w:hAnsi="宋体" w:cs="宋体"/>
                <w:color w:val="000000"/>
                <w:kern w:val="0"/>
                <w:szCs w:val="21"/>
              </w:rPr>
            </w:pPr>
            <w:r>
              <w:rPr>
                <w:rFonts w:hint="eastAsia" w:ascii="宋体" w:hAnsi="宋体" w:cs="宋体"/>
                <w:color w:val="000000"/>
                <w:kern w:val="0"/>
                <w:szCs w:val="21"/>
              </w:rPr>
              <w:t>支持后续编辑任务点、分组及达标条件；</w:t>
            </w:r>
          </w:p>
        </w:tc>
        <w:tc>
          <w:tcPr>
            <w:tcW w:w="79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916AA2D">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716"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58B6D85">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53BE">
            <w:pPr>
              <w:widowControl/>
              <w:jc w:val="left"/>
              <w:textAlignment w:val="center"/>
              <w:rPr>
                <w:rFonts w:ascii="宋体" w:hAnsi="宋体" w:cs="宋体"/>
                <w:color w:val="000000"/>
                <w:kern w:val="0"/>
                <w:sz w:val="22"/>
                <w:szCs w:val="22"/>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A845B">
            <w:pPr>
              <w:widowControl/>
              <w:jc w:val="left"/>
              <w:textAlignment w:val="center"/>
              <w:rPr>
                <w:rFonts w:ascii="宋体" w:hAnsi="宋体" w:cs="宋体"/>
                <w:color w:val="000000"/>
                <w:kern w:val="0"/>
                <w:sz w:val="22"/>
                <w:szCs w:val="22"/>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452ED">
            <w:pPr>
              <w:widowControl/>
              <w:jc w:val="left"/>
              <w:textAlignment w:val="center"/>
              <w:rPr>
                <w:rFonts w:ascii="宋体" w:hAnsi="宋体" w:cs="宋体"/>
                <w:color w:val="000000"/>
                <w:kern w:val="0"/>
                <w:sz w:val="22"/>
                <w:szCs w:val="22"/>
              </w:rPr>
            </w:pPr>
          </w:p>
        </w:tc>
      </w:tr>
      <w:tr w14:paraId="1E6FDABA">
        <w:tblPrEx>
          <w:tblCellMar>
            <w:top w:w="0" w:type="dxa"/>
            <w:left w:w="108" w:type="dxa"/>
            <w:bottom w:w="0" w:type="dxa"/>
            <w:right w:w="108" w:type="dxa"/>
          </w:tblCellMar>
        </w:tblPrEx>
        <w:trPr>
          <w:trHeight w:val="304"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tcPr>
          <w:p w14:paraId="578F8B32">
            <w:pPr>
              <w:widowControl/>
              <w:jc w:val="center"/>
              <w:textAlignment w:val="center"/>
              <w:rPr>
                <w:rFonts w:ascii="宋体" w:hAnsi="宋体" w:cs="宋体"/>
                <w:color w:val="000000"/>
                <w:sz w:val="22"/>
                <w:szCs w:val="22"/>
              </w:rPr>
            </w:pPr>
          </w:p>
          <w:p w14:paraId="38DBCEFD">
            <w:pPr>
              <w:widowControl/>
              <w:jc w:val="center"/>
              <w:textAlignment w:val="center"/>
              <w:rPr>
                <w:rFonts w:ascii="宋体" w:hAnsi="宋体" w:cs="宋体"/>
                <w:color w:val="000000"/>
                <w:sz w:val="22"/>
                <w:szCs w:val="22"/>
              </w:rPr>
            </w:pPr>
          </w:p>
          <w:p w14:paraId="63A080DF">
            <w:pPr>
              <w:widowControl/>
              <w:jc w:val="center"/>
              <w:textAlignment w:val="center"/>
              <w:rPr>
                <w:rFonts w:ascii="宋体" w:hAnsi="宋体" w:cs="宋体"/>
                <w:color w:val="000000"/>
                <w:sz w:val="22"/>
                <w:szCs w:val="22"/>
              </w:rPr>
            </w:pPr>
            <w:r>
              <w:rPr>
                <w:rFonts w:hint="eastAsia" w:ascii="宋体" w:hAnsi="宋体" w:cs="宋体"/>
                <w:color w:val="000000"/>
                <w:sz w:val="22"/>
                <w:szCs w:val="22"/>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FFFFFF"/>
          </w:tcPr>
          <w:p w14:paraId="1F7CD75C">
            <w:pPr>
              <w:widowControl/>
              <w:jc w:val="center"/>
              <w:textAlignment w:val="center"/>
              <w:rPr>
                <w:rFonts w:ascii="方正仿宋_GBK" w:hAnsi="方正仿宋_GBK" w:eastAsia="方正仿宋_GBK" w:cs="方正仿宋_GBK"/>
                <w:color w:val="05073B"/>
                <w:sz w:val="24"/>
                <w:shd w:val="clear" w:color="auto" w:fill="FDFDFE"/>
              </w:rPr>
            </w:pPr>
          </w:p>
          <w:p w14:paraId="135EB0ED">
            <w:pPr>
              <w:widowControl/>
              <w:jc w:val="center"/>
              <w:textAlignment w:val="center"/>
              <w:rPr>
                <w:rFonts w:ascii="宋体" w:hAnsi="宋体" w:cs="宋体"/>
                <w:color w:val="000000"/>
                <w:sz w:val="22"/>
                <w:szCs w:val="22"/>
              </w:rPr>
            </w:pPr>
            <w:r>
              <w:rPr>
                <w:rFonts w:hint="eastAsia" w:ascii="方正仿宋_GBK" w:hAnsi="方正仿宋_GBK" w:eastAsia="方正仿宋_GBK" w:cs="方正仿宋_GBK"/>
                <w:color w:val="05073B"/>
                <w:sz w:val="24"/>
                <w:shd w:val="clear" w:color="auto" w:fill="FDFDFE"/>
              </w:rPr>
              <w:t>数字人</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3908">
            <w:pPr>
              <w:widowControl/>
              <w:jc w:val="center"/>
              <w:textAlignment w:val="bottom"/>
              <w:rPr>
                <w:rFonts w:ascii="宋体" w:hAnsi="宋体" w:cs="宋体"/>
                <w:color w:val="000000"/>
                <w:sz w:val="24"/>
              </w:rPr>
            </w:pP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0598">
            <w:pPr>
              <w:widowControl/>
              <w:jc w:val="left"/>
              <w:textAlignment w:val="bottom"/>
              <w:rPr>
                <w:rFonts w:hint="eastAsia" w:ascii="宋体" w:hAnsi="宋体" w:cs="宋体"/>
                <w:color w:val="000000"/>
                <w:szCs w:val="21"/>
              </w:rPr>
            </w:pPr>
            <w:r>
              <w:rPr>
                <w:rFonts w:hint="eastAsia" w:ascii="宋体" w:hAnsi="宋体" w:cs="宋体"/>
                <w:color w:val="000000"/>
                <w:szCs w:val="21"/>
              </w:rPr>
              <w:t>一、平台部署</w:t>
            </w:r>
          </w:p>
          <w:p w14:paraId="35148338">
            <w:pPr>
              <w:widowControl/>
              <w:jc w:val="left"/>
              <w:textAlignment w:val="bottom"/>
              <w:rPr>
                <w:rFonts w:hint="eastAsia" w:ascii="宋体" w:hAnsi="宋体" w:cs="宋体"/>
                <w:color w:val="000000"/>
                <w:szCs w:val="21"/>
              </w:rPr>
            </w:pPr>
            <w:r>
              <w:rPr>
                <w:rFonts w:hint="eastAsia" w:ascii="宋体" w:hAnsi="宋体" w:cs="宋体"/>
                <w:color w:val="000000"/>
                <w:szCs w:val="21"/>
              </w:rPr>
              <w:t>1.本期项目所需能力，包括训练平台、视频生产平台稳定运行</w:t>
            </w:r>
          </w:p>
          <w:p w14:paraId="6EFABD81">
            <w:pPr>
              <w:widowControl/>
              <w:jc w:val="left"/>
              <w:textAlignment w:val="bottom"/>
              <w:rPr>
                <w:rFonts w:hint="eastAsia" w:ascii="宋体" w:hAnsi="宋体" w:cs="宋体"/>
                <w:color w:val="000000"/>
                <w:szCs w:val="21"/>
              </w:rPr>
            </w:pPr>
            <w:r>
              <w:rPr>
                <w:rFonts w:hint="eastAsia" w:ascii="宋体" w:hAnsi="宋体" w:cs="宋体"/>
                <w:color w:val="000000"/>
                <w:szCs w:val="21"/>
              </w:rPr>
              <w:t>2.支持可同步、快速更新、迭代、升级的能力</w:t>
            </w:r>
          </w:p>
          <w:p w14:paraId="2444E69D">
            <w:pPr>
              <w:widowControl/>
              <w:jc w:val="left"/>
              <w:textAlignment w:val="bottom"/>
              <w:rPr>
                <w:rFonts w:hint="eastAsia" w:ascii="宋体" w:hAnsi="宋体" w:cs="宋体"/>
                <w:color w:val="000000"/>
                <w:szCs w:val="21"/>
              </w:rPr>
            </w:pPr>
            <w:r>
              <w:rPr>
                <w:rFonts w:hint="eastAsia" w:ascii="宋体" w:hAnsi="宋体" w:cs="宋体"/>
                <w:color w:val="000000"/>
                <w:szCs w:val="21"/>
              </w:rPr>
              <w:t>3.可提供完备的采样训练操作手册，平台使用操作手册等配套技术说明文档</w:t>
            </w:r>
          </w:p>
          <w:p w14:paraId="024FEC7B">
            <w:pPr>
              <w:widowControl/>
              <w:jc w:val="left"/>
              <w:textAlignment w:val="bottom"/>
              <w:rPr>
                <w:rFonts w:hint="eastAsia" w:ascii="宋体" w:hAnsi="宋体" w:cs="宋体"/>
                <w:color w:val="000000"/>
                <w:szCs w:val="21"/>
              </w:rPr>
            </w:pPr>
            <w:r>
              <w:rPr>
                <w:rFonts w:hint="eastAsia" w:ascii="宋体" w:hAnsi="宋体" w:cs="宋体"/>
                <w:color w:val="000000"/>
                <w:szCs w:val="21"/>
              </w:rPr>
              <w:t>二、形象训练</w:t>
            </w:r>
          </w:p>
          <w:p w14:paraId="4F2FDD2F">
            <w:pPr>
              <w:widowControl/>
              <w:jc w:val="left"/>
              <w:textAlignment w:val="bottom"/>
              <w:rPr>
                <w:rFonts w:hint="eastAsia" w:ascii="宋体" w:hAnsi="宋体" w:cs="宋体"/>
                <w:color w:val="000000"/>
                <w:szCs w:val="21"/>
              </w:rPr>
            </w:pPr>
            <w:r>
              <w:rPr>
                <w:rFonts w:hint="eastAsia" w:ascii="宋体" w:hAnsi="宋体" w:cs="宋体"/>
                <w:color w:val="000000"/>
                <w:szCs w:val="21"/>
              </w:rPr>
              <w:t>1.支持公用人像库自选</w:t>
            </w:r>
          </w:p>
          <w:p w14:paraId="7A453E3F">
            <w:pPr>
              <w:widowControl/>
              <w:jc w:val="left"/>
              <w:textAlignment w:val="bottom"/>
              <w:rPr>
                <w:rFonts w:hint="eastAsia" w:ascii="宋体" w:hAnsi="宋体" w:cs="宋体"/>
                <w:color w:val="000000"/>
                <w:szCs w:val="21"/>
              </w:rPr>
            </w:pPr>
            <w:r>
              <w:rPr>
                <w:rFonts w:hint="eastAsia" w:ascii="宋体" w:hAnsi="宋体" w:cs="宋体"/>
                <w:color w:val="000000"/>
                <w:szCs w:val="21"/>
              </w:rPr>
              <w:t>2.支持通过5-10分钟训练视频进行数字分身形象的复刻训练，训练生成的数字分身需具备播报能力、并且可选择数字人动作区间，更适配课程内容姿态。训练后的形象可同步至视频生产平台进行使用</w:t>
            </w:r>
          </w:p>
          <w:p w14:paraId="4D71F67D">
            <w:pPr>
              <w:widowControl/>
              <w:jc w:val="left"/>
              <w:textAlignment w:val="bottom"/>
              <w:rPr>
                <w:rFonts w:hint="eastAsia" w:ascii="宋体" w:hAnsi="宋体" w:cs="宋体"/>
                <w:color w:val="000000"/>
                <w:szCs w:val="21"/>
              </w:rPr>
            </w:pPr>
            <w:r>
              <w:rPr>
                <w:rFonts w:hint="eastAsia" w:ascii="宋体" w:hAnsi="宋体" w:cs="宋体"/>
                <w:color w:val="000000"/>
                <w:szCs w:val="21"/>
              </w:rPr>
              <w:t>3.支持训练视频实景训练，也支持抠像训练，包括纯色背景抠、绿幕抠、实景抠，便于后期视频时满足背景替换的需求</w:t>
            </w:r>
          </w:p>
          <w:p w14:paraId="280A0023">
            <w:pPr>
              <w:widowControl/>
              <w:jc w:val="left"/>
              <w:textAlignment w:val="bottom"/>
              <w:rPr>
                <w:rFonts w:hint="eastAsia" w:ascii="宋体" w:hAnsi="宋体" w:cs="宋体"/>
                <w:color w:val="000000"/>
                <w:szCs w:val="21"/>
              </w:rPr>
            </w:pPr>
            <w:r>
              <w:rPr>
                <w:rFonts w:hint="eastAsia" w:ascii="宋体" w:hAnsi="宋体" w:cs="宋体"/>
                <w:color w:val="000000"/>
                <w:szCs w:val="21"/>
              </w:rPr>
              <w:t>4.支持上传训练视频后到训练完成同步至视频生产平台，傻瓜式全流程化自动化完成</w:t>
            </w:r>
          </w:p>
          <w:p w14:paraId="22B419AE">
            <w:pPr>
              <w:widowControl/>
              <w:jc w:val="left"/>
              <w:textAlignment w:val="bottom"/>
              <w:rPr>
                <w:rFonts w:hint="eastAsia" w:ascii="宋体" w:hAnsi="宋体" w:cs="宋体"/>
                <w:color w:val="000000"/>
                <w:szCs w:val="21"/>
              </w:rPr>
            </w:pPr>
            <w:r>
              <w:rPr>
                <w:rFonts w:hint="eastAsia" w:ascii="宋体" w:hAnsi="宋体" w:cs="宋体"/>
                <w:color w:val="000000"/>
                <w:szCs w:val="21"/>
              </w:rPr>
              <w:t>5.可数字化、图形化展示模型训练进度，便于用户快速了解训练进展</w:t>
            </w:r>
          </w:p>
          <w:p w14:paraId="7249EF51">
            <w:pPr>
              <w:widowControl/>
              <w:jc w:val="left"/>
              <w:textAlignment w:val="bottom"/>
              <w:rPr>
                <w:rFonts w:hint="eastAsia" w:ascii="宋体" w:hAnsi="宋体" w:cs="宋体"/>
                <w:color w:val="000000"/>
                <w:szCs w:val="21"/>
              </w:rPr>
            </w:pPr>
            <w:r>
              <w:rPr>
                <w:rFonts w:hint="eastAsia" w:ascii="宋体" w:hAnsi="宋体" w:cs="宋体"/>
                <w:color w:val="000000"/>
                <w:szCs w:val="21"/>
              </w:rPr>
              <w:t>6.支持在训练平台中进行形象训练后进行视频生成测试、预览，及时查看训练的效果是否满足需要</w:t>
            </w:r>
          </w:p>
          <w:p w14:paraId="196EDEBB">
            <w:pPr>
              <w:widowControl/>
              <w:jc w:val="left"/>
              <w:textAlignment w:val="bottom"/>
              <w:rPr>
                <w:rFonts w:hint="eastAsia" w:ascii="宋体" w:hAnsi="宋体" w:cs="宋体"/>
                <w:color w:val="000000"/>
                <w:szCs w:val="21"/>
              </w:rPr>
            </w:pPr>
            <w:r>
              <w:rPr>
                <w:rFonts w:hint="eastAsia" w:ascii="宋体" w:hAnsi="宋体" w:cs="宋体"/>
                <w:color w:val="000000"/>
                <w:szCs w:val="21"/>
              </w:rPr>
              <w:t>7.支持通过20S训练音频数据对用户音色进行复刻训练，支持数字人音调、语速、音量再调节，训练后的声音可同步至视频生产平台进行使用</w:t>
            </w:r>
          </w:p>
          <w:p w14:paraId="4D63596A">
            <w:pPr>
              <w:widowControl/>
              <w:jc w:val="left"/>
              <w:textAlignment w:val="bottom"/>
              <w:rPr>
                <w:rFonts w:hint="eastAsia" w:ascii="宋体" w:hAnsi="宋体" w:cs="宋体"/>
                <w:color w:val="000000"/>
                <w:szCs w:val="21"/>
              </w:rPr>
            </w:pPr>
            <w:r>
              <w:rPr>
                <w:rFonts w:hint="eastAsia" w:ascii="宋体" w:hAnsi="宋体" w:cs="宋体"/>
                <w:color w:val="000000"/>
                <w:szCs w:val="21"/>
              </w:rPr>
              <w:t>8.支持在训练平台中进行声音训练后进行音频生成测试、试听，及时查看训练的效果是否满足需要</w:t>
            </w:r>
          </w:p>
          <w:p w14:paraId="776A1B29">
            <w:pPr>
              <w:widowControl/>
              <w:jc w:val="left"/>
              <w:textAlignment w:val="bottom"/>
              <w:rPr>
                <w:rFonts w:hint="eastAsia" w:ascii="宋体" w:hAnsi="宋体" w:cs="宋体"/>
                <w:color w:val="000000"/>
                <w:szCs w:val="21"/>
              </w:rPr>
            </w:pPr>
            <w:r>
              <w:rPr>
                <w:rFonts w:hint="eastAsia" w:ascii="宋体" w:hAnsi="宋体" w:cs="宋体"/>
                <w:color w:val="000000"/>
                <w:szCs w:val="21"/>
              </w:rPr>
              <w:t>9.提供自动抠mask工具，对需要进行背景替换的训练需求，手动进行mask文件的抠取，以满足训练需要</w:t>
            </w:r>
          </w:p>
          <w:p w14:paraId="3CA0E410">
            <w:pPr>
              <w:widowControl/>
              <w:jc w:val="left"/>
              <w:textAlignment w:val="bottom"/>
              <w:rPr>
                <w:rFonts w:hint="eastAsia" w:ascii="宋体" w:hAnsi="宋体" w:cs="宋体"/>
                <w:color w:val="000000"/>
                <w:szCs w:val="21"/>
              </w:rPr>
            </w:pPr>
            <w:r>
              <w:rPr>
                <w:rFonts w:hint="eastAsia" w:ascii="宋体" w:hAnsi="宋体" w:cs="宋体"/>
                <w:color w:val="000000"/>
                <w:szCs w:val="21"/>
              </w:rPr>
              <w:t>10.提供音频自动识别工具，对需要进行语音训练的音频文件进行AI转写文字，以满足训练需要</w:t>
            </w:r>
          </w:p>
          <w:p w14:paraId="035A1082">
            <w:pPr>
              <w:widowControl/>
              <w:jc w:val="left"/>
              <w:textAlignment w:val="bottom"/>
              <w:rPr>
                <w:rFonts w:hint="eastAsia" w:ascii="宋体" w:hAnsi="宋体" w:cs="宋体"/>
                <w:color w:val="000000"/>
                <w:szCs w:val="21"/>
              </w:rPr>
            </w:pPr>
            <w:r>
              <w:rPr>
                <w:rFonts w:hint="eastAsia" w:ascii="宋体" w:hAnsi="宋体" w:cs="宋体"/>
                <w:color w:val="000000"/>
                <w:szCs w:val="21"/>
              </w:rPr>
              <w:t>11.形象质检，支持对需要训练的视频文件进行格式、时长、人物在画面中位置等因素是否符合使用要求进行检查</w:t>
            </w:r>
          </w:p>
          <w:p w14:paraId="313804C6">
            <w:pPr>
              <w:widowControl/>
              <w:jc w:val="left"/>
              <w:textAlignment w:val="bottom"/>
              <w:rPr>
                <w:rFonts w:hint="eastAsia" w:ascii="宋体" w:hAnsi="宋体" w:cs="宋体"/>
                <w:color w:val="000000"/>
                <w:szCs w:val="21"/>
              </w:rPr>
            </w:pPr>
            <w:r>
              <w:rPr>
                <w:rFonts w:hint="eastAsia" w:ascii="宋体" w:hAnsi="宋体" w:cs="宋体"/>
                <w:color w:val="000000"/>
                <w:szCs w:val="21"/>
              </w:rPr>
              <w:t>12.声音质检，支持对需要训练的音频文件进行格式、时长、内容重复、噪音等因素是否符合要求进行检查</w:t>
            </w:r>
          </w:p>
          <w:p w14:paraId="4D1BE696">
            <w:pPr>
              <w:widowControl/>
              <w:jc w:val="left"/>
              <w:textAlignment w:val="bottom"/>
              <w:rPr>
                <w:rFonts w:hint="eastAsia" w:ascii="宋体" w:hAnsi="宋体" w:cs="宋体"/>
                <w:color w:val="000000"/>
                <w:szCs w:val="21"/>
              </w:rPr>
            </w:pPr>
            <w:r>
              <w:rPr>
                <w:rFonts w:hint="eastAsia" w:ascii="宋体" w:hAnsi="宋体" w:cs="宋体"/>
                <w:color w:val="000000"/>
                <w:szCs w:val="21"/>
              </w:rPr>
              <w:t>三、视频生产平台</w:t>
            </w:r>
          </w:p>
          <w:p w14:paraId="4269ED59">
            <w:pPr>
              <w:widowControl/>
              <w:jc w:val="left"/>
              <w:textAlignment w:val="bottom"/>
              <w:rPr>
                <w:rFonts w:hint="eastAsia" w:ascii="宋体" w:hAnsi="宋体" w:cs="宋体"/>
                <w:color w:val="000000"/>
                <w:szCs w:val="21"/>
              </w:rPr>
            </w:pPr>
            <w:r>
              <w:rPr>
                <w:rFonts w:hint="eastAsia" w:ascii="宋体" w:hAnsi="宋体" w:cs="宋体"/>
                <w:color w:val="000000"/>
                <w:szCs w:val="21"/>
              </w:rPr>
              <w:t>1.有丰富的形象库，支持多个公共形象库中的形象资源迁移到现场环境，供现场使用</w:t>
            </w:r>
          </w:p>
          <w:p w14:paraId="74C33589">
            <w:pPr>
              <w:widowControl/>
              <w:jc w:val="left"/>
              <w:textAlignment w:val="bottom"/>
              <w:rPr>
                <w:rFonts w:hint="eastAsia" w:ascii="宋体" w:hAnsi="宋体" w:cs="宋体"/>
                <w:color w:val="000000"/>
                <w:szCs w:val="21"/>
              </w:rPr>
            </w:pPr>
            <w:r>
              <w:rPr>
                <w:rFonts w:hint="eastAsia" w:ascii="宋体" w:hAnsi="宋体" w:cs="宋体"/>
                <w:color w:val="000000"/>
                <w:szCs w:val="21"/>
              </w:rPr>
              <w:t>2.有丰富的音色库，支持多语种能力，可将音色资源迁移到现场环境供使用，语种不少于中文、英文</w:t>
            </w:r>
          </w:p>
          <w:p w14:paraId="7FE9D089">
            <w:pPr>
              <w:widowControl/>
              <w:jc w:val="left"/>
              <w:textAlignment w:val="bottom"/>
              <w:rPr>
                <w:rFonts w:hint="eastAsia" w:ascii="宋体" w:hAnsi="宋体" w:cs="宋体"/>
                <w:color w:val="000000"/>
                <w:szCs w:val="21"/>
              </w:rPr>
            </w:pPr>
            <w:r>
              <w:rPr>
                <w:rFonts w:hint="eastAsia" w:ascii="宋体" w:hAnsi="宋体" w:cs="宋体"/>
                <w:color w:val="000000"/>
                <w:szCs w:val="21"/>
              </w:rPr>
              <w:t>3.用户在进行视频内容生产过程中，选择好数字分身后可灵活调整数字分身形象大小和位置，制作过程中允许替换数字分身及数字分身的音色及对应语速、音调及音量信息</w:t>
            </w:r>
          </w:p>
          <w:p w14:paraId="47F21D11">
            <w:pPr>
              <w:widowControl/>
              <w:jc w:val="left"/>
              <w:textAlignment w:val="bottom"/>
              <w:rPr>
                <w:rFonts w:hint="eastAsia" w:ascii="宋体" w:hAnsi="宋体" w:cs="宋体"/>
                <w:color w:val="000000"/>
                <w:szCs w:val="21"/>
              </w:rPr>
            </w:pPr>
            <w:r>
              <w:rPr>
                <w:rFonts w:hint="eastAsia" w:ascii="宋体" w:hAnsi="宋体" w:cs="宋体"/>
                <w:color w:val="000000"/>
                <w:szCs w:val="21"/>
              </w:rPr>
              <w:t>4.PPT解析</w:t>
            </w:r>
          </w:p>
          <w:p w14:paraId="2E51F469">
            <w:pPr>
              <w:widowControl/>
              <w:jc w:val="left"/>
              <w:textAlignment w:val="bottom"/>
              <w:rPr>
                <w:rFonts w:hint="eastAsia" w:ascii="宋体" w:hAnsi="宋体" w:cs="宋体"/>
                <w:color w:val="000000"/>
                <w:szCs w:val="21"/>
              </w:rPr>
            </w:pPr>
            <w:r>
              <w:rPr>
                <w:rFonts w:hint="eastAsia" w:ascii="宋体" w:hAnsi="宋体" w:cs="宋体"/>
                <w:color w:val="000000"/>
                <w:szCs w:val="21"/>
              </w:rPr>
              <w:t>支持通过导入PPT文件的方式，进行视频分镜的构建，可快速基于导入的文件快速进行视频制作，解析特效并保留ppt所有动效；</w:t>
            </w:r>
          </w:p>
          <w:p w14:paraId="191A34D1">
            <w:pPr>
              <w:widowControl/>
              <w:jc w:val="left"/>
              <w:textAlignment w:val="bottom"/>
              <w:rPr>
                <w:rFonts w:hint="eastAsia" w:ascii="宋体" w:hAnsi="宋体" w:cs="宋体"/>
                <w:color w:val="000000"/>
                <w:szCs w:val="21"/>
              </w:rPr>
            </w:pPr>
            <w:r>
              <w:rPr>
                <w:rFonts w:hint="eastAsia" w:ascii="宋体" w:hAnsi="宋体" w:cs="宋体"/>
                <w:color w:val="000000"/>
                <w:szCs w:val="21"/>
              </w:rPr>
              <w:t>支持ppt导入后，备注文字自动转化为数字人朗读文稿；</w:t>
            </w:r>
          </w:p>
          <w:p w14:paraId="1D68F325">
            <w:pPr>
              <w:widowControl/>
              <w:jc w:val="left"/>
              <w:textAlignment w:val="bottom"/>
              <w:rPr>
                <w:rFonts w:hint="eastAsia" w:ascii="宋体" w:hAnsi="宋体" w:cs="宋体"/>
                <w:color w:val="000000"/>
                <w:szCs w:val="21"/>
              </w:rPr>
            </w:pPr>
            <w:r>
              <w:rPr>
                <w:rFonts w:hint="eastAsia" w:ascii="宋体" w:hAnsi="宋体" w:cs="宋体"/>
                <w:color w:val="000000"/>
                <w:szCs w:val="21"/>
              </w:rPr>
              <w:t>支持每页ppt可更换不同数字人形象和声音，并可更换不同驱动片段姿态；可将设置效果应用至全局</w:t>
            </w:r>
          </w:p>
          <w:p w14:paraId="5E449547">
            <w:pPr>
              <w:widowControl/>
              <w:jc w:val="left"/>
              <w:textAlignment w:val="bottom"/>
              <w:rPr>
                <w:rFonts w:hint="eastAsia" w:ascii="宋体" w:hAnsi="宋体" w:cs="宋体"/>
                <w:color w:val="000000"/>
                <w:szCs w:val="21"/>
              </w:rPr>
            </w:pPr>
            <w:r>
              <w:rPr>
                <w:rFonts w:hint="eastAsia" w:ascii="宋体" w:hAnsi="宋体" w:cs="宋体"/>
                <w:color w:val="000000"/>
                <w:szCs w:val="21"/>
              </w:rPr>
              <w:t>支持对ppt每个场景快速预览；</w:t>
            </w:r>
          </w:p>
          <w:p w14:paraId="081F9F89">
            <w:pPr>
              <w:widowControl/>
              <w:jc w:val="left"/>
              <w:textAlignment w:val="bottom"/>
              <w:rPr>
                <w:rFonts w:hint="eastAsia" w:ascii="宋体" w:hAnsi="宋体" w:cs="宋体"/>
                <w:color w:val="000000"/>
                <w:szCs w:val="21"/>
              </w:rPr>
            </w:pPr>
            <w:r>
              <w:rPr>
                <w:rFonts w:hint="eastAsia" w:ascii="宋体" w:hAnsi="宋体" w:cs="宋体"/>
                <w:color w:val="000000"/>
                <w:szCs w:val="21"/>
              </w:rPr>
              <w:t>支持对数字人的声音和形象属性进行选择和编辑；可将设置效果应用至全局</w:t>
            </w:r>
          </w:p>
          <w:p w14:paraId="4037FCF9">
            <w:pPr>
              <w:widowControl/>
              <w:jc w:val="left"/>
              <w:textAlignment w:val="bottom"/>
              <w:rPr>
                <w:rFonts w:hint="eastAsia" w:ascii="宋体" w:hAnsi="宋体" w:cs="宋体"/>
                <w:color w:val="000000"/>
                <w:szCs w:val="21"/>
              </w:rPr>
            </w:pPr>
            <w:r>
              <w:rPr>
                <w:rFonts w:hint="eastAsia" w:ascii="宋体" w:hAnsi="宋体" w:cs="宋体"/>
                <w:color w:val="000000"/>
                <w:szCs w:val="21"/>
              </w:rPr>
              <w:t>播报视频生成时，支持对ppt动效、数字人、文字等元素，位置、大小等属性的编辑；也可进行可视、隐藏等操作，可将设置效果一键应用至全局</w:t>
            </w:r>
          </w:p>
          <w:p w14:paraId="3EF0AAC2">
            <w:pPr>
              <w:widowControl/>
              <w:jc w:val="left"/>
              <w:textAlignment w:val="bottom"/>
              <w:rPr>
                <w:rFonts w:hint="eastAsia" w:ascii="宋体" w:hAnsi="宋体" w:cs="宋体"/>
                <w:color w:val="000000"/>
                <w:szCs w:val="21"/>
              </w:rPr>
            </w:pPr>
            <w:r>
              <w:rPr>
                <w:rFonts w:hint="eastAsia" w:ascii="宋体" w:hAnsi="宋体" w:cs="宋体"/>
                <w:color w:val="000000"/>
                <w:szCs w:val="21"/>
              </w:rPr>
              <w:t>5.播报内容输入和标注</w:t>
            </w:r>
          </w:p>
          <w:p w14:paraId="31D3A733">
            <w:pPr>
              <w:widowControl/>
              <w:jc w:val="left"/>
              <w:textAlignment w:val="bottom"/>
              <w:rPr>
                <w:rFonts w:hint="eastAsia" w:ascii="宋体" w:hAnsi="宋体" w:cs="宋体"/>
                <w:color w:val="000000"/>
                <w:szCs w:val="21"/>
              </w:rPr>
            </w:pPr>
            <w:r>
              <w:rPr>
                <w:rFonts w:hint="eastAsia" w:ascii="宋体" w:hAnsi="宋体" w:cs="宋体"/>
                <w:color w:val="000000"/>
                <w:szCs w:val="21"/>
              </w:rPr>
              <w:t>支持ppt备注自动转为数字人播报语音内容，也可对内容进行手动调整</w:t>
            </w:r>
          </w:p>
          <w:p w14:paraId="1FC21763">
            <w:pPr>
              <w:widowControl/>
              <w:jc w:val="left"/>
              <w:textAlignment w:val="bottom"/>
              <w:rPr>
                <w:rFonts w:hint="eastAsia" w:ascii="宋体" w:hAnsi="宋体" w:cs="宋体"/>
                <w:color w:val="000000"/>
                <w:szCs w:val="21"/>
              </w:rPr>
            </w:pPr>
            <w:r>
              <w:rPr>
                <w:rFonts w:hint="eastAsia" w:ascii="宋体" w:hAnsi="宋体" w:cs="宋体"/>
                <w:color w:val="000000"/>
                <w:szCs w:val="21"/>
              </w:rPr>
              <w:t>支持手动输入文本内容，对于文本输入内容支持根据文本内容进行数字读法、替换发音、停顿的标注</w:t>
            </w:r>
          </w:p>
          <w:p w14:paraId="7407EBDB">
            <w:pPr>
              <w:widowControl/>
              <w:jc w:val="left"/>
              <w:textAlignment w:val="bottom"/>
              <w:rPr>
                <w:rFonts w:hint="eastAsia" w:ascii="宋体" w:hAnsi="宋体" w:cs="宋体"/>
                <w:color w:val="000000"/>
                <w:szCs w:val="21"/>
              </w:rPr>
            </w:pPr>
            <w:r>
              <w:rPr>
                <w:rFonts w:hint="eastAsia" w:ascii="宋体" w:hAnsi="宋体" w:cs="宋体"/>
                <w:color w:val="000000"/>
                <w:szCs w:val="21"/>
              </w:rPr>
              <w:t>支持语音输入，可实时录音也可上传离线音频文件；</w:t>
            </w:r>
          </w:p>
          <w:p w14:paraId="6EF027EB">
            <w:pPr>
              <w:widowControl/>
              <w:jc w:val="left"/>
              <w:textAlignment w:val="bottom"/>
              <w:rPr>
                <w:rFonts w:hint="eastAsia" w:ascii="宋体" w:hAnsi="宋体" w:cs="宋体"/>
                <w:color w:val="000000"/>
                <w:szCs w:val="21"/>
              </w:rPr>
            </w:pPr>
            <w:r>
              <w:rPr>
                <w:rFonts w:hint="eastAsia" w:ascii="宋体" w:hAnsi="宋体" w:cs="宋体"/>
                <w:color w:val="000000"/>
                <w:szCs w:val="21"/>
              </w:rPr>
              <w:t>6.内容编辑模式</w:t>
            </w:r>
          </w:p>
          <w:p w14:paraId="0E3849DA">
            <w:pPr>
              <w:widowControl/>
              <w:jc w:val="left"/>
              <w:textAlignment w:val="bottom"/>
              <w:rPr>
                <w:rFonts w:hint="eastAsia" w:ascii="宋体" w:hAnsi="宋体" w:cs="宋体"/>
                <w:color w:val="000000"/>
                <w:szCs w:val="21"/>
              </w:rPr>
            </w:pPr>
            <w:r>
              <w:rPr>
                <w:rFonts w:hint="eastAsia" w:ascii="宋体" w:hAnsi="宋体" w:cs="宋体"/>
                <w:color w:val="000000"/>
                <w:szCs w:val="21"/>
              </w:rPr>
              <w:t>支持通用文本编辑、视频编辑模式</w:t>
            </w:r>
          </w:p>
          <w:p w14:paraId="2075DDD4">
            <w:pPr>
              <w:widowControl/>
              <w:jc w:val="left"/>
              <w:textAlignment w:val="bottom"/>
              <w:rPr>
                <w:rFonts w:hint="eastAsia" w:ascii="宋体" w:hAnsi="宋体" w:cs="宋体"/>
                <w:color w:val="000000"/>
                <w:szCs w:val="21"/>
              </w:rPr>
            </w:pPr>
            <w:r>
              <w:rPr>
                <w:rFonts w:hint="eastAsia" w:ascii="宋体" w:hAnsi="宋体" w:cs="宋体"/>
                <w:color w:val="000000"/>
                <w:szCs w:val="21"/>
              </w:rPr>
              <w:t>支持轨道式专业视频编辑模式，对ppt中动效不同元素形成不同轨道，便于用户可对视频中的元素在不同轨道上进行更精准、便捷的编辑操作</w:t>
            </w:r>
          </w:p>
          <w:p w14:paraId="64CBD93E">
            <w:pPr>
              <w:widowControl/>
              <w:jc w:val="left"/>
              <w:textAlignment w:val="bottom"/>
              <w:rPr>
                <w:rFonts w:hint="eastAsia" w:ascii="宋体" w:hAnsi="宋体" w:cs="宋体"/>
                <w:color w:val="000000"/>
                <w:szCs w:val="21"/>
              </w:rPr>
            </w:pPr>
            <w:r>
              <w:rPr>
                <w:rFonts w:hint="eastAsia" w:ascii="宋体" w:hAnsi="宋体" w:cs="宋体"/>
                <w:color w:val="000000"/>
                <w:szCs w:val="21"/>
              </w:rPr>
              <w:t>7.效果预览</w:t>
            </w:r>
          </w:p>
          <w:p w14:paraId="7B5A0772">
            <w:pPr>
              <w:widowControl/>
              <w:jc w:val="left"/>
              <w:textAlignment w:val="bottom"/>
              <w:rPr>
                <w:rFonts w:hint="eastAsia" w:ascii="宋体" w:hAnsi="宋体" w:cs="宋体"/>
                <w:color w:val="000000"/>
                <w:szCs w:val="21"/>
              </w:rPr>
            </w:pPr>
            <w:r>
              <w:rPr>
                <w:rFonts w:hint="eastAsia" w:ascii="宋体" w:hAnsi="宋体" w:cs="宋体"/>
                <w:color w:val="000000"/>
                <w:szCs w:val="21"/>
              </w:rPr>
              <w:t>支持对文本内容进行试听，单场景视频效果预览的操作</w:t>
            </w:r>
          </w:p>
          <w:p w14:paraId="47DC9E25">
            <w:pPr>
              <w:widowControl/>
              <w:jc w:val="left"/>
              <w:textAlignment w:val="bottom"/>
              <w:rPr>
                <w:rFonts w:hint="eastAsia" w:ascii="宋体" w:hAnsi="宋体" w:cs="宋体"/>
                <w:color w:val="000000"/>
                <w:szCs w:val="21"/>
              </w:rPr>
            </w:pPr>
            <w:r>
              <w:rPr>
                <w:rFonts w:hint="eastAsia" w:ascii="宋体" w:hAnsi="宋体" w:cs="宋体"/>
                <w:color w:val="000000"/>
                <w:szCs w:val="21"/>
              </w:rPr>
              <w:t>8.视频文件管理</w:t>
            </w:r>
          </w:p>
          <w:p w14:paraId="75ABC37C">
            <w:pPr>
              <w:widowControl/>
              <w:jc w:val="left"/>
              <w:textAlignment w:val="bottom"/>
              <w:rPr>
                <w:rFonts w:hint="eastAsia" w:ascii="宋体" w:hAnsi="宋体" w:cs="宋体"/>
                <w:color w:val="000000"/>
                <w:szCs w:val="21"/>
              </w:rPr>
            </w:pPr>
            <w:r>
              <w:rPr>
                <w:rFonts w:hint="eastAsia" w:ascii="宋体" w:hAnsi="宋体" w:cs="宋体"/>
                <w:color w:val="000000"/>
                <w:szCs w:val="21"/>
              </w:rPr>
              <w:t>支持对制作完成的视频文件，进行本地导出操作，或者上传到智慧课程平台个人云盘，导出格式为mp4，可同步导出ppt文件</w:t>
            </w:r>
          </w:p>
          <w:p w14:paraId="59776847">
            <w:pPr>
              <w:widowControl/>
              <w:jc w:val="left"/>
              <w:textAlignment w:val="bottom"/>
              <w:rPr>
                <w:rFonts w:hint="eastAsia" w:ascii="宋体" w:hAnsi="宋体" w:cs="宋体"/>
                <w:color w:val="000000"/>
                <w:szCs w:val="21"/>
              </w:rPr>
            </w:pPr>
            <w:r>
              <w:rPr>
                <w:rFonts w:hint="eastAsia" w:ascii="宋体" w:hAnsi="宋体" w:cs="宋体"/>
                <w:color w:val="000000"/>
                <w:szCs w:val="21"/>
              </w:rPr>
              <w:t>支持对制作完成的视频文件，支持进行文件管理，可进行移动、下载、和删除的操作</w:t>
            </w:r>
          </w:p>
          <w:p w14:paraId="59063997">
            <w:pPr>
              <w:widowControl/>
              <w:jc w:val="left"/>
              <w:textAlignment w:val="bottom"/>
              <w:rPr>
                <w:rFonts w:ascii="宋体" w:hAnsi="宋体" w:cs="宋体"/>
                <w:color w:val="000000"/>
                <w:szCs w:val="21"/>
              </w:rPr>
            </w:pPr>
            <w:r>
              <w:rPr>
                <w:rFonts w:hint="eastAsia" w:ascii="宋体" w:hAnsi="宋体" w:cs="宋体"/>
                <w:color w:val="000000"/>
                <w:szCs w:val="21"/>
              </w:rPr>
              <w:t>支持导出视频自定义码率及清晰度选择1080P、2K、4K</w:t>
            </w:r>
          </w:p>
        </w:tc>
        <w:tc>
          <w:tcPr>
            <w:tcW w:w="79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EDC2C8C">
            <w:pPr>
              <w:widowControl/>
              <w:jc w:val="center"/>
              <w:textAlignment w:val="center"/>
              <w:rPr>
                <w:rFonts w:ascii="宋体" w:hAnsi="宋体" w:cs="宋体"/>
                <w:color w:val="000000"/>
                <w:sz w:val="22"/>
                <w:szCs w:val="22"/>
              </w:rPr>
            </w:pPr>
            <w:r>
              <w:rPr>
                <w:rFonts w:hint="eastAsia" w:ascii="宋体" w:hAnsi="宋体" w:cs="宋体"/>
                <w:color w:val="000000"/>
                <w:sz w:val="22"/>
                <w:szCs w:val="22"/>
              </w:rPr>
              <w:t>套</w:t>
            </w:r>
          </w:p>
        </w:tc>
        <w:tc>
          <w:tcPr>
            <w:tcW w:w="716"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FA5D6C5">
            <w:pPr>
              <w:widowControl/>
              <w:jc w:val="center"/>
              <w:textAlignment w:val="center"/>
              <w:rPr>
                <w:rFonts w:ascii="宋体" w:hAnsi="宋体" w:cs="宋体"/>
                <w:color w:val="000000"/>
                <w:sz w:val="22"/>
                <w:szCs w:val="22"/>
              </w:rPr>
            </w:pPr>
            <w:r>
              <w:rPr>
                <w:rFonts w:hint="eastAsia" w:ascii="宋体" w:hAnsi="宋体" w:cs="宋体"/>
                <w:color w:val="000000"/>
                <w:sz w:val="22"/>
                <w:szCs w:val="22"/>
              </w:rPr>
              <w:t>3</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D0A39">
            <w:pPr>
              <w:widowControl/>
              <w:jc w:val="left"/>
              <w:textAlignment w:val="center"/>
              <w:rPr>
                <w:rFonts w:ascii="宋体" w:hAnsi="宋体" w:cs="宋体"/>
                <w:color w:val="000000"/>
                <w:kern w:val="0"/>
                <w:sz w:val="22"/>
                <w:szCs w:val="22"/>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E118F">
            <w:pPr>
              <w:widowControl/>
              <w:jc w:val="left"/>
              <w:textAlignment w:val="center"/>
              <w:rPr>
                <w:rFonts w:ascii="宋体" w:hAnsi="宋体" w:cs="宋体"/>
                <w:color w:val="000000"/>
                <w:kern w:val="0"/>
                <w:sz w:val="22"/>
                <w:szCs w:val="22"/>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48786">
            <w:pPr>
              <w:widowControl/>
              <w:jc w:val="left"/>
              <w:textAlignment w:val="center"/>
              <w:rPr>
                <w:rFonts w:ascii="宋体" w:hAnsi="宋体" w:cs="宋体"/>
                <w:color w:val="000000"/>
                <w:kern w:val="0"/>
                <w:sz w:val="22"/>
                <w:szCs w:val="22"/>
              </w:rPr>
            </w:pPr>
          </w:p>
        </w:tc>
      </w:tr>
      <w:tr w14:paraId="4EBB72BC">
        <w:tblPrEx>
          <w:tblCellMar>
            <w:top w:w="0" w:type="dxa"/>
            <w:left w:w="108" w:type="dxa"/>
            <w:bottom w:w="0" w:type="dxa"/>
            <w:right w:w="108" w:type="dxa"/>
          </w:tblCellMar>
        </w:tblPrEx>
        <w:trPr>
          <w:trHeight w:val="304" w:hRule="atLeast"/>
        </w:trPr>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D9FE">
            <w:pPr>
              <w:widowControl/>
              <w:jc w:val="left"/>
              <w:textAlignment w:val="center"/>
              <w:rPr>
                <w:rFonts w:ascii="宋体" w:hAnsi="宋体" w:cs="宋体"/>
                <w:color w:val="000000"/>
                <w:sz w:val="22"/>
                <w:szCs w:val="22"/>
              </w:rPr>
            </w:pPr>
            <w:r>
              <w:rPr>
                <w:rFonts w:hint="eastAsia" w:ascii="宋体" w:hAnsi="宋体" w:cs="宋体"/>
                <w:color w:val="000000"/>
                <w:sz w:val="22"/>
                <w:szCs w:val="22"/>
              </w:rPr>
              <w:t>合计</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DAD0E">
            <w:pPr>
              <w:widowControl/>
              <w:jc w:val="center"/>
              <w:textAlignment w:val="center"/>
              <w:rPr>
                <w:rFonts w:ascii="宋体" w:hAnsi="宋体" w:cs="宋体"/>
                <w:color w:val="000000"/>
                <w:sz w:val="22"/>
                <w:szCs w:val="22"/>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E361">
            <w:pPr>
              <w:widowControl/>
              <w:jc w:val="center"/>
              <w:textAlignment w:val="bottom"/>
              <w:rPr>
                <w:rFonts w:ascii="宋体" w:hAnsi="宋体" w:cs="宋体"/>
                <w:color w:val="000000"/>
                <w:sz w:val="24"/>
              </w:rPr>
            </w:pPr>
          </w:p>
        </w:tc>
        <w:tc>
          <w:tcPr>
            <w:tcW w:w="3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CC4B">
            <w:pPr>
              <w:widowControl/>
              <w:jc w:val="center"/>
              <w:textAlignment w:val="bottom"/>
              <w:rPr>
                <w:rFonts w:ascii="宋体" w:hAnsi="宋体" w:cs="宋体"/>
                <w:color w:val="000000"/>
                <w:sz w:val="24"/>
              </w:rPr>
            </w:pPr>
          </w:p>
        </w:tc>
        <w:tc>
          <w:tcPr>
            <w:tcW w:w="15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511ABC">
            <w:pPr>
              <w:widowControl/>
              <w:jc w:val="left"/>
              <w:textAlignment w:val="center"/>
              <w:rPr>
                <w:rFonts w:ascii="宋体" w:hAnsi="宋体" w:cs="宋体"/>
                <w:color w:val="000000"/>
                <w:sz w:val="22"/>
                <w:szCs w:val="22"/>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B6EB2">
            <w:pPr>
              <w:widowControl/>
              <w:jc w:val="left"/>
              <w:textAlignment w:val="center"/>
              <w:rPr>
                <w:rFonts w:ascii="宋体" w:hAnsi="宋体" w:cs="宋体"/>
                <w:color w:val="000000"/>
                <w:kern w:val="0"/>
                <w:sz w:val="22"/>
                <w:szCs w:val="22"/>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278AE">
            <w:pPr>
              <w:widowControl/>
              <w:jc w:val="left"/>
              <w:textAlignment w:val="center"/>
              <w:rPr>
                <w:rFonts w:ascii="宋体" w:hAnsi="宋体" w:cs="宋体"/>
                <w:color w:val="000000"/>
                <w:kern w:val="0"/>
                <w:sz w:val="22"/>
                <w:szCs w:val="22"/>
              </w:rPr>
            </w:pP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9921">
            <w:pPr>
              <w:widowControl/>
              <w:jc w:val="left"/>
              <w:textAlignment w:val="center"/>
              <w:rPr>
                <w:rFonts w:ascii="宋体" w:hAnsi="宋体" w:cs="宋体"/>
                <w:color w:val="000000"/>
                <w:kern w:val="0"/>
                <w:sz w:val="22"/>
                <w:szCs w:val="22"/>
              </w:rPr>
            </w:pPr>
          </w:p>
        </w:tc>
      </w:tr>
    </w:tbl>
    <w:p w14:paraId="5358F332">
      <w:pPr>
        <w:spacing w:line="440" w:lineRule="exact"/>
        <w:outlineLvl w:val="2"/>
        <w:rPr>
          <w:rFonts w:hint="eastAsia" w:ascii="仿宋_GB2312" w:hAnsi="宋体" w:eastAsia="仿宋_GB2312"/>
          <w:b/>
          <w:color w:val="FF0000"/>
          <w:sz w:val="28"/>
          <w:szCs w:val="28"/>
          <w:lang w:eastAsia="zh-CN"/>
        </w:rPr>
      </w:pPr>
      <w:r>
        <w:rPr>
          <w:rFonts w:hint="eastAsia" w:ascii="仿宋_GB2312" w:hAnsi="宋体" w:eastAsia="仿宋_GB2312"/>
          <w:b/>
          <w:color w:val="FF0000"/>
          <w:sz w:val="28"/>
          <w:szCs w:val="28"/>
        </w:rPr>
        <w:t>备注：</w:t>
      </w:r>
      <w:r>
        <w:rPr>
          <w:rFonts w:hint="eastAsia" w:ascii="仿宋_GB2312" w:hAnsi="宋体" w:eastAsia="仿宋_GB2312"/>
          <w:b/>
          <w:color w:val="FF0000"/>
          <w:sz w:val="28"/>
          <w:szCs w:val="28"/>
          <w:lang w:val="en-US" w:eastAsia="zh-CN"/>
        </w:rPr>
        <w:t>一、</w:t>
      </w:r>
      <w:r>
        <w:rPr>
          <w:rFonts w:hint="eastAsia" w:ascii="仿宋_GB2312" w:hAnsi="宋体" w:eastAsia="仿宋_GB2312"/>
          <w:b/>
          <w:color w:val="FF0000"/>
          <w:sz w:val="28"/>
          <w:szCs w:val="28"/>
        </w:rPr>
        <w:t>以上参数仅供参考，报价产品达到或优于以上参数即可，参与竞谈单位根据以上功能需求，提供自有品牌产品的详细技术方案</w:t>
      </w:r>
      <w:r>
        <w:rPr>
          <w:rFonts w:hint="eastAsia" w:ascii="仿宋_GB2312" w:hAnsi="宋体" w:eastAsia="仿宋_GB2312"/>
          <w:b/>
          <w:color w:val="FF0000"/>
          <w:sz w:val="28"/>
          <w:szCs w:val="28"/>
          <w:lang w:eastAsia="zh-CN"/>
        </w:rPr>
        <w:t>（严禁完全复制竞谈文件参数，投标单位须在《技术文件格式》中填写自由产品参数，如投标单位未按要求填写产品自有参数</w:t>
      </w:r>
      <w:r>
        <w:rPr>
          <w:rFonts w:hint="eastAsia" w:ascii="仿宋_GB2312" w:hAnsi="宋体" w:eastAsia="仿宋_GB2312"/>
          <w:b/>
          <w:color w:val="FF0000"/>
          <w:sz w:val="28"/>
          <w:szCs w:val="28"/>
        </w:rPr>
        <w:t>，</w:t>
      </w:r>
      <w:r>
        <w:rPr>
          <w:rFonts w:hint="eastAsia" w:ascii="仿宋_GB2312" w:hAnsi="宋体" w:eastAsia="仿宋_GB2312"/>
          <w:b/>
          <w:color w:val="FF0000"/>
          <w:sz w:val="28"/>
          <w:szCs w:val="28"/>
          <w:lang w:eastAsia="zh-CN"/>
        </w:rPr>
        <w:t>将被视为实质性不响应招标要求，关键参数不满足将导致投标被否决。）</w:t>
      </w:r>
      <w:r>
        <w:rPr>
          <w:rFonts w:hint="eastAsia" w:ascii="仿宋_GB2312" w:hAnsi="宋体" w:eastAsia="仿宋_GB2312"/>
          <w:b/>
          <w:color w:val="FF0000"/>
          <w:sz w:val="28"/>
          <w:szCs w:val="28"/>
        </w:rPr>
        <w:t>技术方案中提供详细的功能描述、技术参数</w:t>
      </w:r>
      <w:r>
        <w:rPr>
          <w:rFonts w:hint="eastAsia" w:ascii="仿宋_GB2312" w:hAnsi="宋体" w:eastAsia="仿宋_GB2312"/>
          <w:b/>
          <w:color w:val="FF0000"/>
          <w:sz w:val="28"/>
          <w:szCs w:val="28"/>
          <w:lang w:eastAsia="zh-CN"/>
        </w:rPr>
        <w:t>，并注明详细品牌和型号，竞谈现场需提供软件技术参数演示和技术答疑。</w:t>
      </w:r>
    </w:p>
    <w:p w14:paraId="131A9B3A">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二、买断服务内容包括：</w:t>
      </w:r>
    </w:p>
    <w:p w14:paraId="77119B6C">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1.AI工作台（AI助教、资料助手、AI学情分析、AI出题、AI教案、AI课件、AI写作批阅、作业查重、文献阅读、视频理解、AI绘画、智能文本编辑、公式识别、AI实践</w:t>
      </w:r>
    </w:p>
    <w:p w14:paraId="0B63AA63">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2.任务引擎</w:t>
      </w:r>
    </w:p>
    <w:p w14:paraId="2C5FA59E">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3.知识图谱（包括知识图谱、问题图谱、能力图谱、思政图谱，以及八个图谱样式类别老师可自行选择建设）</w:t>
      </w:r>
    </w:p>
    <w:p w14:paraId="52FAD7C5">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培训以及课程运行、申报服务</w:t>
      </w:r>
    </w:p>
    <w:p w14:paraId="69C59C50">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（1）培训服务</w:t>
      </w:r>
    </w:p>
    <w:p w14:paraId="728E9F5A">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鉴于本智慧课程建设的目的是为教学使用，供应商须提供完备的培训服务，能够让本课程教师团队能够充分理解和掌握智慧课程应该如何应用。</w:t>
      </w:r>
    </w:p>
    <w:p w14:paraId="1B2FB895">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（2）课程运行诊断服务</w:t>
      </w:r>
    </w:p>
    <w:p w14:paraId="7EB3A38A">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①运行数据实时统计、学情监督管理、课程运维服务、定期对平台各项数据进行统计汇总，若发现问题，及时配合教师团队共同解决。</w:t>
      </w:r>
    </w:p>
    <w:p w14:paraId="5F7D055F">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②课程运营期间，对课程组的教师进行线上平台的使用培训和相关运营问题的答疑。</w:t>
      </w:r>
    </w:p>
    <w:p w14:paraId="04B1FA79">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③课程完成一期开课，对本次开课数据及课程内容进行诊断，并出具诊断报告。</w:t>
      </w:r>
    </w:p>
    <w:p w14:paraId="229D7850">
      <w:pPr>
        <w:spacing w:line="440" w:lineRule="exact"/>
        <w:ind w:firstLine="843" w:firstLineChars="300"/>
        <w:outlineLvl w:val="2"/>
        <w:rPr>
          <w:rFonts w:hint="eastAsia"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（3）课程申报服务</w:t>
      </w:r>
    </w:p>
    <w:p w14:paraId="5ECDF13E">
      <w:pPr>
        <w:spacing w:line="440" w:lineRule="exact"/>
        <w:ind w:firstLine="843" w:firstLineChars="300"/>
        <w:outlineLvl w:val="2"/>
        <w:rPr>
          <w:rFonts w:hint="default" w:ascii="仿宋_GB2312" w:hAnsi="宋体" w:eastAsia="仿宋_GB2312"/>
          <w:b/>
          <w:color w:val="FF0000"/>
          <w:sz w:val="28"/>
          <w:szCs w:val="28"/>
          <w:lang w:val="en-US" w:eastAsia="zh-CN"/>
        </w:rPr>
      </w:pPr>
      <w:r>
        <w:rPr>
          <w:rFonts w:hint="eastAsia" w:ascii="仿宋_GB2312" w:hAnsi="宋体" w:eastAsia="仿宋_GB2312"/>
          <w:b/>
          <w:color w:val="FF0000"/>
          <w:sz w:val="28"/>
          <w:szCs w:val="28"/>
          <w:lang w:val="en-US" w:eastAsia="zh-CN"/>
        </w:rPr>
        <w:t>课程申报培训、课程设计师一对一指导、申报材料优化、申报数据整理等全流程申报服务</w:t>
      </w:r>
    </w:p>
    <w:p w14:paraId="1676A034">
      <w:pPr>
        <w:adjustRightInd w:val="0"/>
        <w:snapToGrid w:val="0"/>
        <w:spacing w:line="400" w:lineRule="exact"/>
        <w:ind w:firstLine="480"/>
        <w:rPr>
          <w:rFonts w:ascii="宋体" w:hAnsi="宋体"/>
          <w:b/>
          <w:bCs/>
          <w:sz w:val="28"/>
          <w:szCs w:val="28"/>
        </w:rPr>
      </w:pPr>
      <w:r>
        <w:rPr>
          <w:rFonts w:hint="eastAsia" w:ascii="宋体" w:hAnsi="宋体"/>
          <w:b/>
          <w:bCs/>
          <w:sz w:val="28"/>
          <w:szCs w:val="28"/>
        </w:rPr>
        <w:t>五、最终报价及相关文件要求：</w:t>
      </w:r>
    </w:p>
    <w:tbl>
      <w:tblPr>
        <w:tblStyle w:val="16"/>
        <w:tblW w:w="0" w:type="auto"/>
        <w:tblInd w:w="0" w:type="dxa"/>
        <w:tblLayout w:type="fixed"/>
        <w:tblCellMar>
          <w:top w:w="0" w:type="dxa"/>
          <w:left w:w="108" w:type="dxa"/>
          <w:bottom w:w="0" w:type="dxa"/>
          <w:right w:w="108" w:type="dxa"/>
        </w:tblCellMar>
      </w:tblPr>
      <w:tblGrid>
        <w:gridCol w:w="574"/>
        <w:gridCol w:w="1121"/>
        <w:gridCol w:w="767"/>
        <w:gridCol w:w="1090"/>
        <w:gridCol w:w="1719"/>
        <w:gridCol w:w="1090"/>
        <w:gridCol w:w="927"/>
        <w:gridCol w:w="1248"/>
        <w:gridCol w:w="1090"/>
        <w:gridCol w:w="794"/>
      </w:tblGrid>
      <w:tr w14:paraId="1780BFEA">
        <w:tblPrEx>
          <w:tblCellMar>
            <w:top w:w="0" w:type="dxa"/>
            <w:left w:w="108" w:type="dxa"/>
            <w:bottom w:w="0" w:type="dxa"/>
            <w:right w:w="108" w:type="dxa"/>
          </w:tblCellMar>
        </w:tblPrEx>
        <w:trPr>
          <w:trHeight w:val="270" w:hRule="atLeast"/>
        </w:trPr>
        <w:tc>
          <w:tcPr>
            <w:tcW w:w="10420" w:type="dxa"/>
            <w:gridSpan w:val="10"/>
            <w:tcBorders>
              <w:top w:val="nil"/>
              <w:left w:val="nil"/>
              <w:bottom w:val="single" w:color="auto" w:sz="4" w:space="0"/>
              <w:right w:val="nil"/>
            </w:tcBorders>
            <w:vAlign w:val="center"/>
          </w:tcPr>
          <w:p w14:paraId="5FECB8F7">
            <w:pPr>
              <w:adjustRightInd w:val="0"/>
              <w:spacing w:line="400" w:lineRule="exact"/>
              <w:ind w:firstLine="475" w:firstLineChars="197"/>
              <w:jc w:val="left"/>
              <w:rPr>
                <w:rFonts w:ascii="宋体" w:hAnsi="宋体" w:cs="宋体"/>
                <w:color w:val="000000"/>
                <w:kern w:val="0"/>
                <w:sz w:val="22"/>
                <w:szCs w:val="22"/>
              </w:rPr>
            </w:pPr>
            <w:r>
              <w:rPr>
                <w:rFonts w:hint="eastAsia" w:ascii="宋体" w:hAnsi="宋体"/>
                <w:b/>
                <w:bCs/>
                <w:sz w:val="24"/>
              </w:rPr>
              <w:t>（一）报价文件格式</w:t>
            </w:r>
          </w:p>
        </w:tc>
      </w:tr>
      <w:tr w14:paraId="622A1D3C">
        <w:tblPrEx>
          <w:tblCellMar>
            <w:top w:w="0" w:type="dxa"/>
            <w:left w:w="108" w:type="dxa"/>
            <w:bottom w:w="0" w:type="dxa"/>
            <w:right w:w="108" w:type="dxa"/>
          </w:tblCellMar>
        </w:tblPrEx>
        <w:trPr>
          <w:trHeight w:val="270" w:hRule="atLeast"/>
        </w:trPr>
        <w:tc>
          <w:tcPr>
            <w:tcW w:w="574" w:type="dxa"/>
            <w:tcBorders>
              <w:top w:val="nil"/>
              <w:left w:val="single" w:color="auto" w:sz="4" w:space="0"/>
              <w:bottom w:val="single" w:color="auto" w:sz="4" w:space="0"/>
              <w:right w:val="single" w:color="auto" w:sz="4" w:space="0"/>
            </w:tcBorders>
            <w:vAlign w:val="center"/>
          </w:tcPr>
          <w:p w14:paraId="414F21DD">
            <w:pPr>
              <w:widowControl/>
              <w:jc w:val="center"/>
              <w:rPr>
                <w:rFonts w:ascii="宋体" w:hAnsi="宋体" w:cs="宋体"/>
                <w:color w:val="000000"/>
                <w:kern w:val="0"/>
                <w:sz w:val="18"/>
                <w:szCs w:val="18"/>
              </w:rPr>
            </w:pPr>
            <w:r>
              <w:rPr>
                <w:rFonts w:hint="eastAsia" w:ascii="宋体" w:hAnsi="宋体" w:cs="宋体"/>
                <w:color w:val="000000"/>
                <w:kern w:val="0"/>
                <w:sz w:val="18"/>
                <w:szCs w:val="18"/>
              </w:rPr>
              <w:t>序号</w:t>
            </w:r>
          </w:p>
        </w:tc>
        <w:tc>
          <w:tcPr>
            <w:tcW w:w="1121" w:type="dxa"/>
            <w:tcBorders>
              <w:top w:val="nil"/>
              <w:left w:val="nil"/>
              <w:bottom w:val="single" w:color="auto" w:sz="4" w:space="0"/>
              <w:right w:val="single" w:color="auto" w:sz="4" w:space="0"/>
            </w:tcBorders>
            <w:vAlign w:val="center"/>
          </w:tcPr>
          <w:p w14:paraId="13D2FB6C">
            <w:pPr>
              <w:widowControl/>
              <w:jc w:val="center"/>
              <w:rPr>
                <w:rFonts w:ascii="宋体" w:hAnsi="宋体" w:cs="宋体"/>
                <w:color w:val="000000"/>
                <w:kern w:val="0"/>
                <w:sz w:val="18"/>
                <w:szCs w:val="18"/>
              </w:rPr>
            </w:pPr>
            <w:r>
              <w:rPr>
                <w:rFonts w:hint="eastAsia" w:ascii="宋体" w:hAnsi="宋体" w:cs="宋体"/>
                <w:color w:val="000000"/>
                <w:kern w:val="0"/>
                <w:sz w:val="18"/>
                <w:szCs w:val="18"/>
              </w:rPr>
              <w:t>产品名称</w:t>
            </w:r>
          </w:p>
        </w:tc>
        <w:tc>
          <w:tcPr>
            <w:tcW w:w="767" w:type="dxa"/>
            <w:tcBorders>
              <w:top w:val="nil"/>
              <w:left w:val="nil"/>
              <w:bottom w:val="single" w:color="auto" w:sz="4" w:space="0"/>
              <w:right w:val="single" w:color="auto" w:sz="4" w:space="0"/>
            </w:tcBorders>
            <w:vAlign w:val="center"/>
          </w:tcPr>
          <w:p w14:paraId="20041370">
            <w:pPr>
              <w:widowControl/>
              <w:jc w:val="center"/>
              <w:rPr>
                <w:rFonts w:ascii="宋体" w:hAnsi="宋体" w:cs="宋体"/>
                <w:color w:val="000000"/>
                <w:kern w:val="0"/>
                <w:sz w:val="18"/>
                <w:szCs w:val="18"/>
              </w:rPr>
            </w:pPr>
            <w:r>
              <w:rPr>
                <w:rFonts w:hint="eastAsia" w:ascii="宋体" w:hAnsi="宋体" w:cs="宋体"/>
                <w:color w:val="000000"/>
                <w:kern w:val="0"/>
                <w:sz w:val="18"/>
                <w:szCs w:val="18"/>
              </w:rPr>
              <w:t>品牌</w:t>
            </w:r>
          </w:p>
        </w:tc>
        <w:tc>
          <w:tcPr>
            <w:tcW w:w="1090" w:type="dxa"/>
            <w:tcBorders>
              <w:top w:val="nil"/>
              <w:left w:val="nil"/>
              <w:bottom w:val="single" w:color="auto" w:sz="4" w:space="0"/>
              <w:right w:val="single" w:color="auto" w:sz="4" w:space="0"/>
            </w:tcBorders>
            <w:vAlign w:val="center"/>
          </w:tcPr>
          <w:p w14:paraId="576A61D0">
            <w:pPr>
              <w:widowControl/>
              <w:jc w:val="center"/>
              <w:rPr>
                <w:rFonts w:ascii="宋体" w:hAnsi="宋体" w:cs="宋体"/>
                <w:color w:val="000000"/>
                <w:kern w:val="0"/>
                <w:sz w:val="18"/>
                <w:szCs w:val="18"/>
              </w:rPr>
            </w:pPr>
            <w:r>
              <w:rPr>
                <w:rFonts w:hint="eastAsia" w:ascii="宋体" w:hAnsi="宋体" w:cs="宋体"/>
                <w:color w:val="000000"/>
                <w:kern w:val="0"/>
                <w:sz w:val="18"/>
                <w:szCs w:val="18"/>
              </w:rPr>
              <w:t>规格型号</w:t>
            </w:r>
          </w:p>
        </w:tc>
        <w:tc>
          <w:tcPr>
            <w:tcW w:w="1719" w:type="dxa"/>
            <w:tcBorders>
              <w:top w:val="nil"/>
              <w:left w:val="nil"/>
              <w:bottom w:val="single" w:color="auto" w:sz="4" w:space="0"/>
              <w:right w:val="single" w:color="auto" w:sz="4" w:space="0"/>
            </w:tcBorders>
            <w:vAlign w:val="center"/>
          </w:tcPr>
          <w:p w14:paraId="27375642">
            <w:pPr>
              <w:widowControl/>
              <w:jc w:val="center"/>
              <w:rPr>
                <w:rFonts w:ascii="宋体" w:hAnsi="宋体" w:cs="宋体"/>
                <w:color w:val="000000"/>
                <w:kern w:val="0"/>
                <w:sz w:val="18"/>
                <w:szCs w:val="18"/>
              </w:rPr>
            </w:pPr>
            <w:r>
              <w:rPr>
                <w:rFonts w:hint="eastAsia" w:ascii="宋体" w:hAnsi="宋体" w:cs="宋体"/>
                <w:color w:val="000000"/>
                <w:kern w:val="0"/>
                <w:sz w:val="18"/>
                <w:szCs w:val="18"/>
              </w:rPr>
              <w:t>详细技术参数</w:t>
            </w:r>
          </w:p>
        </w:tc>
        <w:tc>
          <w:tcPr>
            <w:tcW w:w="1090" w:type="dxa"/>
            <w:tcBorders>
              <w:top w:val="nil"/>
              <w:left w:val="nil"/>
              <w:bottom w:val="single" w:color="auto" w:sz="4" w:space="0"/>
              <w:right w:val="single" w:color="auto" w:sz="4" w:space="0"/>
            </w:tcBorders>
            <w:vAlign w:val="center"/>
          </w:tcPr>
          <w:p w14:paraId="10F4F8D2">
            <w:pPr>
              <w:widowControl/>
              <w:jc w:val="center"/>
              <w:rPr>
                <w:rFonts w:ascii="宋体" w:hAnsi="宋体" w:cs="宋体"/>
                <w:color w:val="000000"/>
                <w:kern w:val="0"/>
                <w:sz w:val="18"/>
                <w:szCs w:val="18"/>
              </w:rPr>
            </w:pPr>
            <w:r>
              <w:rPr>
                <w:rFonts w:hint="eastAsia" w:ascii="宋体" w:hAnsi="宋体" w:cs="宋体"/>
                <w:color w:val="000000"/>
                <w:kern w:val="0"/>
                <w:sz w:val="18"/>
                <w:szCs w:val="18"/>
              </w:rPr>
              <w:t>数量</w:t>
            </w:r>
          </w:p>
        </w:tc>
        <w:tc>
          <w:tcPr>
            <w:tcW w:w="927" w:type="dxa"/>
            <w:tcBorders>
              <w:top w:val="nil"/>
              <w:left w:val="nil"/>
              <w:bottom w:val="single" w:color="auto" w:sz="4" w:space="0"/>
              <w:right w:val="single" w:color="auto" w:sz="4" w:space="0"/>
            </w:tcBorders>
            <w:vAlign w:val="center"/>
          </w:tcPr>
          <w:p w14:paraId="20FA57C6">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w:t>
            </w:r>
          </w:p>
        </w:tc>
        <w:tc>
          <w:tcPr>
            <w:tcW w:w="1248" w:type="dxa"/>
            <w:tcBorders>
              <w:top w:val="nil"/>
              <w:left w:val="nil"/>
              <w:bottom w:val="single" w:color="auto" w:sz="4" w:space="0"/>
              <w:right w:val="single" w:color="auto" w:sz="4" w:space="0"/>
            </w:tcBorders>
            <w:vAlign w:val="center"/>
          </w:tcPr>
          <w:p w14:paraId="3F060558">
            <w:pPr>
              <w:widowControl/>
              <w:rPr>
                <w:rFonts w:ascii="宋体" w:hAnsi="宋体" w:cs="宋体"/>
                <w:color w:val="000000"/>
                <w:kern w:val="0"/>
                <w:sz w:val="18"/>
                <w:szCs w:val="18"/>
              </w:rPr>
            </w:pPr>
            <w:r>
              <w:rPr>
                <w:rFonts w:hint="eastAsia" w:ascii="宋体" w:hAnsi="宋体" w:cs="宋体"/>
                <w:color w:val="000000"/>
                <w:kern w:val="0"/>
                <w:sz w:val="18"/>
                <w:szCs w:val="18"/>
              </w:rPr>
              <w:t>单价（元）</w:t>
            </w:r>
          </w:p>
        </w:tc>
        <w:tc>
          <w:tcPr>
            <w:tcW w:w="1090" w:type="dxa"/>
            <w:tcBorders>
              <w:top w:val="nil"/>
              <w:left w:val="nil"/>
              <w:bottom w:val="single" w:color="auto" w:sz="4" w:space="0"/>
              <w:right w:val="single" w:color="auto" w:sz="4" w:space="0"/>
            </w:tcBorders>
            <w:vAlign w:val="center"/>
          </w:tcPr>
          <w:p w14:paraId="6507E692">
            <w:pPr>
              <w:widowControl/>
              <w:jc w:val="center"/>
              <w:rPr>
                <w:rFonts w:ascii="宋体" w:hAnsi="宋体" w:cs="宋体"/>
                <w:color w:val="000000"/>
                <w:kern w:val="0"/>
                <w:sz w:val="18"/>
                <w:szCs w:val="18"/>
              </w:rPr>
            </w:pPr>
            <w:r>
              <w:rPr>
                <w:rFonts w:hint="eastAsia" w:ascii="宋体" w:hAnsi="宋体" w:cs="宋体"/>
                <w:color w:val="000000"/>
                <w:kern w:val="0"/>
                <w:sz w:val="18"/>
                <w:szCs w:val="18"/>
              </w:rPr>
              <w:t>小计（元）</w:t>
            </w:r>
          </w:p>
        </w:tc>
        <w:tc>
          <w:tcPr>
            <w:tcW w:w="794" w:type="dxa"/>
            <w:tcBorders>
              <w:top w:val="nil"/>
              <w:left w:val="nil"/>
              <w:bottom w:val="single" w:color="auto" w:sz="4" w:space="0"/>
              <w:right w:val="single" w:color="auto" w:sz="4" w:space="0"/>
            </w:tcBorders>
            <w:vAlign w:val="center"/>
          </w:tcPr>
          <w:p w14:paraId="7B255490">
            <w:pPr>
              <w:widowControl/>
              <w:jc w:val="center"/>
              <w:rPr>
                <w:rFonts w:ascii="宋体" w:hAnsi="宋体" w:cs="宋体"/>
                <w:color w:val="000000"/>
                <w:kern w:val="0"/>
                <w:sz w:val="18"/>
                <w:szCs w:val="18"/>
              </w:rPr>
            </w:pPr>
            <w:r>
              <w:rPr>
                <w:rFonts w:hint="eastAsia" w:ascii="宋体" w:hAnsi="宋体" w:cs="宋体"/>
                <w:color w:val="000000"/>
                <w:kern w:val="0"/>
                <w:sz w:val="18"/>
                <w:szCs w:val="18"/>
              </w:rPr>
              <w:t>备注</w:t>
            </w:r>
          </w:p>
        </w:tc>
      </w:tr>
      <w:tr w14:paraId="459F0C5A">
        <w:tblPrEx>
          <w:tblCellMar>
            <w:top w:w="0" w:type="dxa"/>
            <w:left w:w="108" w:type="dxa"/>
            <w:bottom w:w="0" w:type="dxa"/>
            <w:right w:w="108" w:type="dxa"/>
          </w:tblCellMar>
        </w:tblPrEx>
        <w:trPr>
          <w:trHeight w:val="270" w:hRule="atLeast"/>
        </w:trPr>
        <w:tc>
          <w:tcPr>
            <w:tcW w:w="574" w:type="dxa"/>
            <w:tcBorders>
              <w:top w:val="nil"/>
              <w:left w:val="single" w:color="auto" w:sz="4" w:space="0"/>
              <w:bottom w:val="single" w:color="auto" w:sz="4" w:space="0"/>
              <w:right w:val="single" w:color="auto" w:sz="4" w:space="0"/>
            </w:tcBorders>
            <w:vAlign w:val="center"/>
          </w:tcPr>
          <w:p w14:paraId="04B069A2">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121" w:type="dxa"/>
            <w:tcBorders>
              <w:top w:val="nil"/>
              <w:left w:val="nil"/>
              <w:bottom w:val="single" w:color="auto" w:sz="4" w:space="0"/>
              <w:right w:val="single" w:color="auto" w:sz="4" w:space="0"/>
            </w:tcBorders>
            <w:vAlign w:val="center"/>
          </w:tcPr>
          <w:p w14:paraId="7ED10F5D">
            <w:pPr>
              <w:widowControl/>
              <w:jc w:val="center"/>
              <w:rPr>
                <w:rFonts w:ascii="宋体" w:hAnsi="宋体" w:cs="宋体"/>
                <w:color w:val="000000"/>
                <w:kern w:val="0"/>
                <w:sz w:val="22"/>
                <w:szCs w:val="22"/>
              </w:rPr>
            </w:pPr>
          </w:p>
        </w:tc>
        <w:tc>
          <w:tcPr>
            <w:tcW w:w="767" w:type="dxa"/>
            <w:tcBorders>
              <w:top w:val="nil"/>
              <w:left w:val="nil"/>
              <w:bottom w:val="single" w:color="auto" w:sz="4" w:space="0"/>
              <w:right w:val="single" w:color="auto" w:sz="4" w:space="0"/>
            </w:tcBorders>
            <w:vAlign w:val="center"/>
          </w:tcPr>
          <w:p w14:paraId="354766BC">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0F3D0F32">
            <w:pPr>
              <w:widowControl/>
              <w:jc w:val="center"/>
              <w:rPr>
                <w:rFonts w:ascii="宋体" w:hAnsi="宋体" w:cs="宋体"/>
                <w:color w:val="000000"/>
                <w:kern w:val="0"/>
                <w:sz w:val="22"/>
                <w:szCs w:val="22"/>
              </w:rPr>
            </w:pPr>
          </w:p>
        </w:tc>
        <w:tc>
          <w:tcPr>
            <w:tcW w:w="1719" w:type="dxa"/>
            <w:tcBorders>
              <w:top w:val="nil"/>
              <w:left w:val="nil"/>
              <w:bottom w:val="single" w:color="auto" w:sz="4" w:space="0"/>
              <w:right w:val="single" w:color="auto" w:sz="4" w:space="0"/>
            </w:tcBorders>
            <w:vAlign w:val="center"/>
          </w:tcPr>
          <w:p w14:paraId="347C9CEC">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2B9CE692">
            <w:pPr>
              <w:widowControl/>
              <w:jc w:val="center"/>
              <w:rPr>
                <w:rFonts w:ascii="宋体" w:hAnsi="宋体" w:cs="宋体"/>
                <w:color w:val="000000"/>
                <w:kern w:val="0"/>
                <w:sz w:val="22"/>
                <w:szCs w:val="22"/>
              </w:rPr>
            </w:pPr>
          </w:p>
        </w:tc>
        <w:tc>
          <w:tcPr>
            <w:tcW w:w="927" w:type="dxa"/>
            <w:tcBorders>
              <w:top w:val="nil"/>
              <w:left w:val="nil"/>
              <w:bottom w:val="single" w:color="auto" w:sz="4" w:space="0"/>
              <w:right w:val="single" w:color="auto" w:sz="4" w:space="0"/>
            </w:tcBorders>
            <w:vAlign w:val="center"/>
          </w:tcPr>
          <w:p w14:paraId="3D464AE7">
            <w:pPr>
              <w:widowControl/>
              <w:jc w:val="center"/>
              <w:rPr>
                <w:rFonts w:ascii="宋体" w:hAnsi="宋体" w:cs="宋体"/>
                <w:color w:val="000000"/>
                <w:kern w:val="0"/>
                <w:sz w:val="22"/>
                <w:szCs w:val="22"/>
              </w:rPr>
            </w:pPr>
          </w:p>
        </w:tc>
        <w:tc>
          <w:tcPr>
            <w:tcW w:w="1248" w:type="dxa"/>
            <w:tcBorders>
              <w:top w:val="nil"/>
              <w:left w:val="nil"/>
              <w:bottom w:val="single" w:color="auto" w:sz="4" w:space="0"/>
              <w:right w:val="single" w:color="auto" w:sz="4" w:space="0"/>
            </w:tcBorders>
            <w:vAlign w:val="center"/>
          </w:tcPr>
          <w:p w14:paraId="4CB44DEB">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3C1E0D95">
            <w:pPr>
              <w:widowControl/>
              <w:jc w:val="center"/>
              <w:rPr>
                <w:rFonts w:ascii="宋体" w:hAnsi="宋体" w:cs="宋体"/>
                <w:color w:val="000000"/>
                <w:kern w:val="0"/>
                <w:sz w:val="22"/>
                <w:szCs w:val="22"/>
              </w:rPr>
            </w:pPr>
          </w:p>
        </w:tc>
        <w:tc>
          <w:tcPr>
            <w:tcW w:w="794" w:type="dxa"/>
            <w:tcBorders>
              <w:top w:val="nil"/>
              <w:left w:val="nil"/>
              <w:bottom w:val="single" w:color="auto" w:sz="4" w:space="0"/>
              <w:right w:val="single" w:color="auto" w:sz="4" w:space="0"/>
            </w:tcBorders>
            <w:vAlign w:val="center"/>
          </w:tcPr>
          <w:p w14:paraId="67FBE578">
            <w:pPr>
              <w:widowControl/>
              <w:jc w:val="center"/>
              <w:rPr>
                <w:rFonts w:ascii="宋体" w:hAnsi="宋体" w:cs="宋体"/>
                <w:color w:val="000000"/>
                <w:kern w:val="0"/>
                <w:sz w:val="22"/>
                <w:szCs w:val="22"/>
              </w:rPr>
            </w:pPr>
          </w:p>
        </w:tc>
      </w:tr>
      <w:tr w14:paraId="5C7850DF">
        <w:tblPrEx>
          <w:tblCellMar>
            <w:top w:w="0" w:type="dxa"/>
            <w:left w:w="108" w:type="dxa"/>
            <w:bottom w:w="0" w:type="dxa"/>
            <w:right w:w="108" w:type="dxa"/>
          </w:tblCellMar>
        </w:tblPrEx>
        <w:trPr>
          <w:trHeight w:val="270" w:hRule="atLeast"/>
        </w:trPr>
        <w:tc>
          <w:tcPr>
            <w:tcW w:w="574" w:type="dxa"/>
            <w:tcBorders>
              <w:top w:val="nil"/>
              <w:left w:val="single" w:color="auto" w:sz="4" w:space="0"/>
              <w:bottom w:val="single" w:color="auto" w:sz="4" w:space="0"/>
              <w:right w:val="single" w:color="auto" w:sz="4" w:space="0"/>
            </w:tcBorders>
            <w:vAlign w:val="center"/>
          </w:tcPr>
          <w:p w14:paraId="01A9B7C9">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121" w:type="dxa"/>
            <w:tcBorders>
              <w:top w:val="nil"/>
              <w:left w:val="nil"/>
              <w:bottom w:val="single" w:color="auto" w:sz="4" w:space="0"/>
              <w:right w:val="single" w:color="auto" w:sz="4" w:space="0"/>
            </w:tcBorders>
            <w:vAlign w:val="center"/>
          </w:tcPr>
          <w:p w14:paraId="66FC3A63">
            <w:pPr>
              <w:widowControl/>
              <w:jc w:val="center"/>
              <w:rPr>
                <w:rFonts w:ascii="宋体" w:hAnsi="宋体" w:cs="宋体"/>
                <w:color w:val="000000"/>
                <w:kern w:val="0"/>
                <w:sz w:val="22"/>
                <w:szCs w:val="22"/>
              </w:rPr>
            </w:pPr>
          </w:p>
        </w:tc>
        <w:tc>
          <w:tcPr>
            <w:tcW w:w="767" w:type="dxa"/>
            <w:tcBorders>
              <w:top w:val="nil"/>
              <w:left w:val="nil"/>
              <w:bottom w:val="single" w:color="auto" w:sz="4" w:space="0"/>
              <w:right w:val="single" w:color="auto" w:sz="4" w:space="0"/>
            </w:tcBorders>
            <w:vAlign w:val="center"/>
          </w:tcPr>
          <w:p w14:paraId="7558D3C9">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6BC1B9EE">
            <w:pPr>
              <w:widowControl/>
              <w:jc w:val="center"/>
              <w:rPr>
                <w:rFonts w:ascii="宋体" w:hAnsi="宋体" w:cs="宋体"/>
                <w:color w:val="000000"/>
                <w:kern w:val="0"/>
                <w:sz w:val="22"/>
                <w:szCs w:val="22"/>
              </w:rPr>
            </w:pPr>
          </w:p>
        </w:tc>
        <w:tc>
          <w:tcPr>
            <w:tcW w:w="1719" w:type="dxa"/>
            <w:tcBorders>
              <w:top w:val="nil"/>
              <w:left w:val="nil"/>
              <w:bottom w:val="single" w:color="auto" w:sz="4" w:space="0"/>
              <w:right w:val="single" w:color="auto" w:sz="4" w:space="0"/>
            </w:tcBorders>
            <w:vAlign w:val="center"/>
          </w:tcPr>
          <w:p w14:paraId="0206DFAB">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5CBF4E81">
            <w:pPr>
              <w:widowControl/>
              <w:jc w:val="center"/>
              <w:rPr>
                <w:rFonts w:ascii="宋体" w:hAnsi="宋体" w:cs="宋体"/>
                <w:color w:val="000000"/>
                <w:kern w:val="0"/>
                <w:sz w:val="22"/>
                <w:szCs w:val="22"/>
              </w:rPr>
            </w:pPr>
          </w:p>
        </w:tc>
        <w:tc>
          <w:tcPr>
            <w:tcW w:w="927" w:type="dxa"/>
            <w:tcBorders>
              <w:top w:val="nil"/>
              <w:left w:val="nil"/>
              <w:bottom w:val="single" w:color="auto" w:sz="4" w:space="0"/>
              <w:right w:val="single" w:color="auto" w:sz="4" w:space="0"/>
            </w:tcBorders>
            <w:vAlign w:val="center"/>
          </w:tcPr>
          <w:p w14:paraId="32338B39">
            <w:pPr>
              <w:widowControl/>
              <w:jc w:val="center"/>
              <w:rPr>
                <w:rFonts w:ascii="宋体" w:hAnsi="宋体" w:cs="宋体"/>
                <w:color w:val="000000"/>
                <w:kern w:val="0"/>
                <w:sz w:val="22"/>
                <w:szCs w:val="22"/>
              </w:rPr>
            </w:pPr>
          </w:p>
        </w:tc>
        <w:tc>
          <w:tcPr>
            <w:tcW w:w="1248" w:type="dxa"/>
            <w:tcBorders>
              <w:top w:val="nil"/>
              <w:left w:val="nil"/>
              <w:bottom w:val="single" w:color="auto" w:sz="4" w:space="0"/>
              <w:right w:val="single" w:color="auto" w:sz="4" w:space="0"/>
            </w:tcBorders>
            <w:vAlign w:val="center"/>
          </w:tcPr>
          <w:p w14:paraId="7E70EAD0">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4CED16FC">
            <w:pPr>
              <w:widowControl/>
              <w:jc w:val="center"/>
              <w:rPr>
                <w:rFonts w:ascii="宋体" w:hAnsi="宋体" w:cs="宋体"/>
                <w:color w:val="000000"/>
                <w:kern w:val="0"/>
                <w:sz w:val="22"/>
                <w:szCs w:val="22"/>
              </w:rPr>
            </w:pPr>
          </w:p>
        </w:tc>
        <w:tc>
          <w:tcPr>
            <w:tcW w:w="794" w:type="dxa"/>
            <w:tcBorders>
              <w:top w:val="nil"/>
              <w:left w:val="nil"/>
              <w:bottom w:val="single" w:color="auto" w:sz="4" w:space="0"/>
              <w:right w:val="single" w:color="auto" w:sz="4" w:space="0"/>
            </w:tcBorders>
            <w:vAlign w:val="center"/>
          </w:tcPr>
          <w:p w14:paraId="3E97B144">
            <w:pPr>
              <w:widowControl/>
              <w:jc w:val="center"/>
              <w:rPr>
                <w:rFonts w:ascii="宋体" w:hAnsi="宋体" w:cs="宋体"/>
                <w:color w:val="000000"/>
                <w:kern w:val="0"/>
                <w:sz w:val="22"/>
                <w:szCs w:val="22"/>
              </w:rPr>
            </w:pPr>
          </w:p>
        </w:tc>
      </w:tr>
      <w:tr w14:paraId="2001A050">
        <w:tblPrEx>
          <w:tblCellMar>
            <w:top w:w="0" w:type="dxa"/>
            <w:left w:w="108" w:type="dxa"/>
            <w:bottom w:w="0" w:type="dxa"/>
            <w:right w:w="108" w:type="dxa"/>
          </w:tblCellMar>
        </w:tblPrEx>
        <w:trPr>
          <w:trHeight w:val="270" w:hRule="atLeast"/>
        </w:trPr>
        <w:tc>
          <w:tcPr>
            <w:tcW w:w="574" w:type="dxa"/>
            <w:tcBorders>
              <w:top w:val="nil"/>
              <w:left w:val="single" w:color="auto" w:sz="4" w:space="0"/>
              <w:bottom w:val="single" w:color="auto" w:sz="4" w:space="0"/>
              <w:right w:val="single" w:color="auto" w:sz="4" w:space="0"/>
            </w:tcBorders>
            <w:vAlign w:val="center"/>
          </w:tcPr>
          <w:p w14:paraId="0EC36CAE">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121" w:type="dxa"/>
            <w:tcBorders>
              <w:top w:val="nil"/>
              <w:left w:val="nil"/>
              <w:bottom w:val="single" w:color="auto" w:sz="4" w:space="0"/>
              <w:right w:val="single" w:color="auto" w:sz="4" w:space="0"/>
            </w:tcBorders>
            <w:vAlign w:val="center"/>
          </w:tcPr>
          <w:p w14:paraId="7A2D17BD">
            <w:pPr>
              <w:widowControl/>
              <w:jc w:val="center"/>
              <w:rPr>
                <w:rFonts w:ascii="宋体" w:hAnsi="宋体" w:cs="宋体"/>
                <w:color w:val="000000"/>
                <w:kern w:val="0"/>
                <w:sz w:val="22"/>
                <w:szCs w:val="22"/>
              </w:rPr>
            </w:pPr>
          </w:p>
        </w:tc>
        <w:tc>
          <w:tcPr>
            <w:tcW w:w="767" w:type="dxa"/>
            <w:tcBorders>
              <w:top w:val="nil"/>
              <w:left w:val="nil"/>
              <w:bottom w:val="single" w:color="auto" w:sz="4" w:space="0"/>
              <w:right w:val="single" w:color="auto" w:sz="4" w:space="0"/>
            </w:tcBorders>
            <w:vAlign w:val="center"/>
          </w:tcPr>
          <w:p w14:paraId="2EF4A745">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7AC1D469">
            <w:pPr>
              <w:widowControl/>
              <w:jc w:val="center"/>
              <w:rPr>
                <w:rFonts w:ascii="宋体" w:hAnsi="宋体" w:cs="宋体"/>
                <w:color w:val="000000"/>
                <w:kern w:val="0"/>
                <w:sz w:val="22"/>
                <w:szCs w:val="22"/>
              </w:rPr>
            </w:pPr>
          </w:p>
        </w:tc>
        <w:tc>
          <w:tcPr>
            <w:tcW w:w="1719" w:type="dxa"/>
            <w:tcBorders>
              <w:top w:val="nil"/>
              <w:left w:val="nil"/>
              <w:bottom w:val="single" w:color="auto" w:sz="4" w:space="0"/>
              <w:right w:val="single" w:color="auto" w:sz="4" w:space="0"/>
            </w:tcBorders>
            <w:vAlign w:val="center"/>
          </w:tcPr>
          <w:p w14:paraId="78FEB1E2">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5DFB211D">
            <w:pPr>
              <w:widowControl/>
              <w:jc w:val="center"/>
              <w:rPr>
                <w:rFonts w:ascii="宋体" w:hAnsi="宋体" w:cs="宋体"/>
                <w:color w:val="000000"/>
                <w:kern w:val="0"/>
                <w:sz w:val="22"/>
                <w:szCs w:val="22"/>
              </w:rPr>
            </w:pPr>
          </w:p>
        </w:tc>
        <w:tc>
          <w:tcPr>
            <w:tcW w:w="927" w:type="dxa"/>
            <w:tcBorders>
              <w:top w:val="nil"/>
              <w:left w:val="nil"/>
              <w:bottom w:val="single" w:color="auto" w:sz="4" w:space="0"/>
              <w:right w:val="single" w:color="auto" w:sz="4" w:space="0"/>
            </w:tcBorders>
            <w:vAlign w:val="center"/>
          </w:tcPr>
          <w:p w14:paraId="063232AD">
            <w:pPr>
              <w:widowControl/>
              <w:jc w:val="center"/>
              <w:rPr>
                <w:rFonts w:ascii="宋体" w:hAnsi="宋体" w:cs="宋体"/>
                <w:color w:val="000000"/>
                <w:kern w:val="0"/>
                <w:sz w:val="22"/>
                <w:szCs w:val="22"/>
              </w:rPr>
            </w:pPr>
          </w:p>
        </w:tc>
        <w:tc>
          <w:tcPr>
            <w:tcW w:w="1248" w:type="dxa"/>
            <w:tcBorders>
              <w:top w:val="nil"/>
              <w:left w:val="nil"/>
              <w:bottom w:val="single" w:color="auto" w:sz="4" w:space="0"/>
              <w:right w:val="single" w:color="auto" w:sz="4" w:space="0"/>
            </w:tcBorders>
            <w:vAlign w:val="center"/>
          </w:tcPr>
          <w:p w14:paraId="4ECEC1DB">
            <w:pPr>
              <w:widowControl/>
              <w:jc w:val="center"/>
              <w:rPr>
                <w:rFonts w:ascii="宋体" w:hAnsi="宋体" w:cs="宋体"/>
                <w:color w:val="000000"/>
                <w:kern w:val="0"/>
                <w:sz w:val="22"/>
                <w:szCs w:val="22"/>
              </w:rPr>
            </w:pPr>
          </w:p>
        </w:tc>
        <w:tc>
          <w:tcPr>
            <w:tcW w:w="1090" w:type="dxa"/>
            <w:tcBorders>
              <w:top w:val="nil"/>
              <w:left w:val="nil"/>
              <w:bottom w:val="single" w:color="auto" w:sz="4" w:space="0"/>
              <w:right w:val="single" w:color="auto" w:sz="4" w:space="0"/>
            </w:tcBorders>
            <w:vAlign w:val="center"/>
          </w:tcPr>
          <w:p w14:paraId="6CEFD270">
            <w:pPr>
              <w:widowControl/>
              <w:jc w:val="center"/>
              <w:rPr>
                <w:rFonts w:ascii="宋体" w:hAnsi="宋体" w:cs="宋体"/>
                <w:color w:val="000000"/>
                <w:kern w:val="0"/>
                <w:sz w:val="22"/>
                <w:szCs w:val="22"/>
              </w:rPr>
            </w:pPr>
          </w:p>
        </w:tc>
        <w:tc>
          <w:tcPr>
            <w:tcW w:w="794" w:type="dxa"/>
            <w:tcBorders>
              <w:top w:val="nil"/>
              <w:left w:val="nil"/>
              <w:bottom w:val="single" w:color="auto" w:sz="4" w:space="0"/>
              <w:right w:val="single" w:color="auto" w:sz="4" w:space="0"/>
            </w:tcBorders>
            <w:vAlign w:val="center"/>
          </w:tcPr>
          <w:p w14:paraId="4768F166">
            <w:pPr>
              <w:widowControl/>
              <w:jc w:val="center"/>
              <w:rPr>
                <w:rFonts w:ascii="宋体" w:hAnsi="宋体" w:cs="宋体"/>
                <w:color w:val="000000"/>
                <w:kern w:val="0"/>
                <w:sz w:val="22"/>
                <w:szCs w:val="22"/>
              </w:rPr>
            </w:pPr>
          </w:p>
        </w:tc>
      </w:tr>
      <w:tr w14:paraId="73EDEEC6">
        <w:tblPrEx>
          <w:tblCellMar>
            <w:top w:w="0" w:type="dxa"/>
            <w:left w:w="108" w:type="dxa"/>
            <w:bottom w:w="0" w:type="dxa"/>
            <w:right w:w="108" w:type="dxa"/>
          </w:tblCellMar>
        </w:tblPrEx>
        <w:trPr>
          <w:trHeight w:val="270" w:hRule="atLeast"/>
        </w:trPr>
        <w:tc>
          <w:tcPr>
            <w:tcW w:w="574" w:type="dxa"/>
            <w:tcBorders>
              <w:top w:val="nil"/>
              <w:left w:val="single" w:color="auto" w:sz="4" w:space="0"/>
              <w:bottom w:val="single" w:color="auto" w:sz="4" w:space="0"/>
              <w:right w:val="single" w:color="auto" w:sz="4" w:space="0"/>
            </w:tcBorders>
            <w:vAlign w:val="center"/>
          </w:tcPr>
          <w:p w14:paraId="796FD0C3">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1121" w:type="dxa"/>
            <w:tcBorders>
              <w:top w:val="nil"/>
              <w:left w:val="nil"/>
              <w:bottom w:val="single" w:color="auto" w:sz="4" w:space="0"/>
              <w:right w:val="single" w:color="auto" w:sz="4" w:space="0"/>
            </w:tcBorders>
            <w:vAlign w:val="center"/>
          </w:tcPr>
          <w:p w14:paraId="51A8AF6A">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8725" w:type="dxa"/>
            <w:gridSpan w:val="8"/>
            <w:tcBorders>
              <w:top w:val="nil"/>
              <w:left w:val="nil"/>
              <w:bottom w:val="single" w:color="auto" w:sz="4" w:space="0"/>
              <w:right w:val="single" w:color="auto" w:sz="4" w:space="0"/>
            </w:tcBorders>
            <w:vAlign w:val="center"/>
          </w:tcPr>
          <w:p w14:paraId="4F5E68F9">
            <w:pPr>
              <w:widowControl/>
              <w:jc w:val="center"/>
              <w:rPr>
                <w:rFonts w:ascii="宋体" w:hAnsi="宋体" w:cs="宋体"/>
                <w:color w:val="000000"/>
                <w:kern w:val="0"/>
                <w:sz w:val="22"/>
                <w:szCs w:val="22"/>
              </w:rPr>
            </w:pPr>
            <w:r>
              <w:rPr>
                <w:rFonts w:hint="eastAsia" w:ascii="宋体" w:hAnsi="宋体" w:cs="宋体"/>
                <w:color w:val="000000"/>
                <w:kern w:val="0"/>
                <w:sz w:val="22"/>
                <w:szCs w:val="22"/>
              </w:rPr>
              <w:t>大写：            （</w:t>
            </w:r>
            <w:r>
              <w:rPr>
                <w:rFonts w:hint="eastAsia" w:ascii="宋体" w:hAnsi="宋体"/>
                <w:color w:val="000000"/>
                <w:sz w:val="24"/>
              </w:rPr>
              <w:t>小写：￥0</w:t>
            </w:r>
            <w:r>
              <w:rPr>
                <w:rFonts w:ascii="宋体" w:hAnsi="宋体" w:cs="宋体"/>
                <w:color w:val="000000"/>
                <w:kern w:val="0"/>
                <w:sz w:val="24"/>
              </w:rPr>
              <w:t>00,000.00</w:t>
            </w:r>
            <w:r>
              <w:rPr>
                <w:rFonts w:hint="eastAsia" w:ascii="宋体" w:hAnsi="宋体" w:cs="宋体"/>
                <w:color w:val="000000"/>
                <w:kern w:val="0"/>
                <w:sz w:val="22"/>
                <w:szCs w:val="22"/>
              </w:rPr>
              <w:t>）</w:t>
            </w:r>
          </w:p>
        </w:tc>
      </w:tr>
    </w:tbl>
    <w:p w14:paraId="09EE055D">
      <w:pPr>
        <w:adjustRightInd w:val="0"/>
        <w:spacing w:line="400" w:lineRule="exact"/>
        <w:rPr>
          <w:rFonts w:ascii="宋体" w:hAnsi="宋体"/>
          <w:b/>
          <w:bCs/>
          <w:sz w:val="28"/>
          <w:szCs w:val="28"/>
        </w:rPr>
      </w:pPr>
    </w:p>
    <w:p w14:paraId="0B5075C3">
      <w:pPr>
        <w:adjustRightInd w:val="0"/>
        <w:spacing w:line="400" w:lineRule="exact"/>
        <w:rPr>
          <w:rFonts w:ascii="宋体" w:hAnsi="宋体"/>
          <w:b/>
          <w:bCs/>
          <w:sz w:val="28"/>
          <w:szCs w:val="28"/>
        </w:rPr>
      </w:pPr>
    </w:p>
    <w:tbl>
      <w:tblPr>
        <w:tblStyle w:val="16"/>
        <w:tblW w:w="0" w:type="auto"/>
        <w:tblInd w:w="0" w:type="dxa"/>
        <w:tblLayout w:type="fixed"/>
        <w:tblCellMar>
          <w:top w:w="0" w:type="dxa"/>
          <w:left w:w="108" w:type="dxa"/>
          <w:bottom w:w="0" w:type="dxa"/>
          <w:right w:w="108" w:type="dxa"/>
        </w:tblCellMar>
      </w:tblPr>
      <w:tblGrid>
        <w:gridCol w:w="636"/>
        <w:gridCol w:w="1123"/>
        <w:gridCol w:w="1227"/>
        <w:gridCol w:w="1017"/>
        <w:gridCol w:w="1609"/>
        <w:gridCol w:w="1609"/>
        <w:gridCol w:w="913"/>
        <w:gridCol w:w="1144"/>
        <w:gridCol w:w="1142"/>
      </w:tblGrid>
      <w:tr w14:paraId="4852924B">
        <w:tblPrEx>
          <w:tblCellMar>
            <w:top w:w="0" w:type="dxa"/>
            <w:left w:w="108" w:type="dxa"/>
            <w:bottom w:w="0" w:type="dxa"/>
            <w:right w:w="108" w:type="dxa"/>
          </w:tblCellMar>
        </w:tblPrEx>
        <w:trPr>
          <w:trHeight w:val="270" w:hRule="atLeast"/>
        </w:trPr>
        <w:tc>
          <w:tcPr>
            <w:tcW w:w="10420" w:type="dxa"/>
            <w:gridSpan w:val="9"/>
            <w:tcBorders>
              <w:top w:val="nil"/>
              <w:left w:val="nil"/>
              <w:bottom w:val="single" w:color="auto" w:sz="4" w:space="0"/>
              <w:right w:val="nil"/>
            </w:tcBorders>
            <w:vAlign w:val="center"/>
          </w:tcPr>
          <w:p w14:paraId="28C27D6D">
            <w:pPr>
              <w:adjustRightInd w:val="0"/>
              <w:spacing w:line="400" w:lineRule="exact"/>
              <w:ind w:firstLine="475" w:firstLineChars="197"/>
              <w:jc w:val="left"/>
              <w:rPr>
                <w:rFonts w:hint="eastAsia" w:ascii="宋体" w:hAnsi="宋体" w:eastAsia="宋体" w:cs="宋体"/>
                <w:color w:val="000000"/>
                <w:kern w:val="0"/>
                <w:sz w:val="22"/>
                <w:szCs w:val="22"/>
                <w:lang w:eastAsia="zh-CN"/>
              </w:rPr>
            </w:pPr>
            <w:r>
              <w:rPr>
                <w:rFonts w:hint="eastAsia" w:ascii="宋体" w:hAnsi="宋体"/>
                <w:b/>
                <w:bCs/>
                <w:sz w:val="24"/>
              </w:rPr>
              <w:t>（二）技术文件格式</w:t>
            </w:r>
            <w:r>
              <w:rPr>
                <w:rFonts w:hint="eastAsia" w:ascii="宋体" w:hAnsi="宋体"/>
                <w:b/>
                <w:bCs/>
                <w:color w:val="FF0000"/>
                <w:sz w:val="24"/>
                <w:lang w:eastAsia="zh-CN"/>
              </w:rPr>
              <w:t>（投标产品参数不得复制参考参数，须提供自有产品详细参数）</w:t>
            </w:r>
          </w:p>
        </w:tc>
      </w:tr>
      <w:tr w14:paraId="71439E45">
        <w:tblPrEx>
          <w:tblCellMar>
            <w:top w:w="0" w:type="dxa"/>
            <w:left w:w="108" w:type="dxa"/>
            <w:bottom w:w="0" w:type="dxa"/>
            <w:right w:w="108" w:type="dxa"/>
          </w:tblCellMar>
        </w:tblPrEx>
        <w:trPr>
          <w:trHeight w:val="270" w:hRule="atLeast"/>
        </w:trPr>
        <w:tc>
          <w:tcPr>
            <w:tcW w:w="636" w:type="dxa"/>
            <w:tcBorders>
              <w:top w:val="nil"/>
              <w:left w:val="single" w:color="auto" w:sz="4" w:space="0"/>
              <w:bottom w:val="single" w:color="auto" w:sz="4" w:space="0"/>
              <w:right w:val="single" w:color="auto" w:sz="4" w:space="0"/>
            </w:tcBorders>
            <w:vAlign w:val="center"/>
          </w:tcPr>
          <w:p w14:paraId="22C31CF7">
            <w:pPr>
              <w:widowControl/>
              <w:jc w:val="center"/>
              <w:rPr>
                <w:rFonts w:ascii="宋体" w:hAnsi="宋体" w:cs="宋体"/>
                <w:color w:val="000000"/>
                <w:kern w:val="0"/>
                <w:sz w:val="18"/>
                <w:szCs w:val="18"/>
              </w:rPr>
            </w:pPr>
            <w:r>
              <w:rPr>
                <w:rFonts w:hint="eastAsia" w:ascii="宋体" w:hAnsi="宋体" w:cs="宋体"/>
                <w:color w:val="000000"/>
                <w:kern w:val="0"/>
                <w:sz w:val="18"/>
                <w:szCs w:val="18"/>
              </w:rPr>
              <w:t>序号</w:t>
            </w:r>
          </w:p>
        </w:tc>
        <w:tc>
          <w:tcPr>
            <w:tcW w:w="1123" w:type="dxa"/>
            <w:tcBorders>
              <w:top w:val="nil"/>
              <w:left w:val="nil"/>
              <w:bottom w:val="single" w:color="auto" w:sz="4" w:space="0"/>
              <w:right w:val="single" w:color="auto" w:sz="4" w:space="0"/>
            </w:tcBorders>
            <w:vAlign w:val="center"/>
          </w:tcPr>
          <w:p w14:paraId="323B01C7">
            <w:pPr>
              <w:widowControl/>
              <w:jc w:val="center"/>
              <w:rPr>
                <w:rFonts w:ascii="宋体" w:hAnsi="宋体" w:cs="宋体"/>
                <w:color w:val="000000"/>
                <w:kern w:val="0"/>
                <w:sz w:val="18"/>
                <w:szCs w:val="18"/>
              </w:rPr>
            </w:pPr>
            <w:r>
              <w:rPr>
                <w:rFonts w:hint="eastAsia" w:ascii="宋体" w:hAnsi="宋体" w:cs="宋体"/>
                <w:color w:val="000000"/>
                <w:kern w:val="0"/>
                <w:sz w:val="18"/>
                <w:szCs w:val="18"/>
              </w:rPr>
              <w:t>产品名称</w:t>
            </w:r>
          </w:p>
        </w:tc>
        <w:tc>
          <w:tcPr>
            <w:tcW w:w="1227" w:type="dxa"/>
            <w:tcBorders>
              <w:top w:val="nil"/>
              <w:left w:val="nil"/>
              <w:bottom w:val="single" w:color="auto" w:sz="4" w:space="0"/>
              <w:right w:val="single" w:color="auto" w:sz="4" w:space="0"/>
            </w:tcBorders>
            <w:vAlign w:val="center"/>
          </w:tcPr>
          <w:p w14:paraId="1CC0052A">
            <w:pPr>
              <w:widowControl/>
              <w:jc w:val="center"/>
              <w:rPr>
                <w:rFonts w:ascii="宋体" w:hAnsi="宋体" w:cs="宋体"/>
                <w:color w:val="000000"/>
                <w:kern w:val="0"/>
                <w:sz w:val="18"/>
                <w:szCs w:val="18"/>
              </w:rPr>
            </w:pPr>
            <w:r>
              <w:rPr>
                <w:rFonts w:hint="eastAsia" w:ascii="宋体" w:hAnsi="宋体" w:cs="宋体"/>
                <w:color w:val="000000"/>
                <w:kern w:val="0"/>
                <w:sz w:val="18"/>
                <w:szCs w:val="18"/>
              </w:rPr>
              <w:t>品牌</w:t>
            </w:r>
          </w:p>
        </w:tc>
        <w:tc>
          <w:tcPr>
            <w:tcW w:w="1017" w:type="dxa"/>
            <w:tcBorders>
              <w:top w:val="nil"/>
              <w:left w:val="nil"/>
              <w:bottom w:val="single" w:color="auto" w:sz="4" w:space="0"/>
              <w:right w:val="single" w:color="auto" w:sz="4" w:space="0"/>
            </w:tcBorders>
            <w:vAlign w:val="center"/>
          </w:tcPr>
          <w:p w14:paraId="0D92D5E2">
            <w:pPr>
              <w:widowControl/>
              <w:jc w:val="center"/>
              <w:rPr>
                <w:rFonts w:ascii="宋体" w:hAnsi="宋体" w:cs="宋体"/>
                <w:color w:val="000000"/>
                <w:kern w:val="0"/>
                <w:sz w:val="18"/>
                <w:szCs w:val="18"/>
              </w:rPr>
            </w:pPr>
            <w:r>
              <w:rPr>
                <w:rFonts w:hint="eastAsia" w:ascii="宋体" w:hAnsi="宋体" w:cs="宋体"/>
                <w:color w:val="000000"/>
                <w:kern w:val="0"/>
                <w:sz w:val="18"/>
                <w:szCs w:val="18"/>
              </w:rPr>
              <w:t>规格型号</w:t>
            </w:r>
          </w:p>
        </w:tc>
        <w:tc>
          <w:tcPr>
            <w:tcW w:w="1609" w:type="dxa"/>
            <w:tcBorders>
              <w:top w:val="nil"/>
              <w:left w:val="nil"/>
              <w:bottom w:val="single" w:color="auto" w:sz="4" w:space="0"/>
              <w:right w:val="single" w:color="auto" w:sz="4" w:space="0"/>
            </w:tcBorders>
            <w:vAlign w:val="center"/>
          </w:tcPr>
          <w:p w14:paraId="5523E65D">
            <w:pPr>
              <w:widowControl/>
              <w:jc w:val="center"/>
              <w:rPr>
                <w:rFonts w:ascii="宋体" w:hAnsi="宋体" w:cs="宋体"/>
                <w:color w:val="000000"/>
                <w:kern w:val="0"/>
                <w:sz w:val="18"/>
                <w:szCs w:val="18"/>
              </w:rPr>
            </w:pPr>
            <w:r>
              <w:rPr>
                <w:rFonts w:hint="eastAsia" w:ascii="宋体" w:hAnsi="宋体" w:cs="宋体"/>
                <w:color w:val="000000"/>
                <w:kern w:val="0"/>
                <w:sz w:val="18"/>
                <w:szCs w:val="18"/>
              </w:rPr>
              <w:t>招标参考参数</w:t>
            </w:r>
          </w:p>
        </w:tc>
        <w:tc>
          <w:tcPr>
            <w:tcW w:w="1609" w:type="dxa"/>
            <w:tcBorders>
              <w:top w:val="nil"/>
              <w:left w:val="nil"/>
              <w:bottom w:val="single" w:color="auto" w:sz="4" w:space="0"/>
              <w:right w:val="single" w:color="auto" w:sz="4" w:space="0"/>
            </w:tcBorders>
            <w:vAlign w:val="center"/>
          </w:tcPr>
          <w:p w14:paraId="5D495E84">
            <w:pPr>
              <w:widowControl/>
              <w:jc w:val="center"/>
              <w:rPr>
                <w:rFonts w:ascii="宋体" w:hAnsi="宋体" w:cs="宋体"/>
                <w:color w:val="000000"/>
                <w:kern w:val="0"/>
                <w:sz w:val="18"/>
                <w:szCs w:val="18"/>
              </w:rPr>
            </w:pPr>
            <w:r>
              <w:rPr>
                <w:rFonts w:hint="eastAsia" w:ascii="宋体" w:hAnsi="宋体" w:cs="宋体"/>
                <w:color w:val="000000"/>
                <w:kern w:val="0"/>
                <w:sz w:val="18"/>
                <w:szCs w:val="18"/>
              </w:rPr>
              <w:t>投标产品参数</w:t>
            </w:r>
          </w:p>
        </w:tc>
        <w:tc>
          <w:tcPr>
            <w:tcW w:w="913" w:type="dxa"/>
            <w:tcBorders>
              <w:top w:val="nil"/>
              <w:left w:val="nil"/>
              <w:bottom w:val="single" w:color="auto" w:sz="4" w:space="0"/>
              <w:right w:val="single" w:color="auto" w:sz="4" w:space="0"/>
            </w:tcBorders>
            <w:vAlign w:val="center"/>
          </w:tcPr>
          <w:p w14:paraId="62BBDAE6">
            <w:pPr>
              <w:widowControl/>
              <w:jc w:val="center"/>
              <w:rPr>
                <w:rFonts w:ascii="宋体" w:hAnsi="宋体" w:cs="宋体"/>
                <w:color w:val="000000"/>
                <w:kern w:val="0"/>
                <w:sz w:val="18"/>
                <w:szCs w:val="18"/>
              </w:rPr>
            </w:pPr>
            <w:r>
              <w:rPr>
                <w:rFonts w:hint="eastAsia" w:ascii="宋体" w:hAnsi="宋体" w:cs="宋体"/>
                <w:color w:val="000000"/>
                <w:kern w:val="0"/>
                <w:sz w:val="18"/>
                <w:szCs w:val="18"/>
              </w:rPr>
              <w:t>偏离</w:t>
            </w:r>
          </w:p>
        </w:tc>
        <w:tc>
          <w:tcPr>
            <w:tcW w:w="1144" w:type="dxa"/>
            <w:tcBorders>
              <w:top w:val="nil"/>
              <w:left w:val="nil"/>
              <w:bottom w:val="single" w:color="auto" w:sz="4" w:space="0"/>
              <w:right w:val="single" w:color="auto" w:sz="4" w:space="0"/>
            </w:tcBorders>
            <w:vAlign w:val="center"/>
          </w:tcPr>
          <w:p w14:paraId="5BC98770">
            <w:pPr>
              <w:widowControl/>
              <w:jc w:val="center"/>
              <w:rPr>
                <w:rFonts w:ascii="宋体" w:hAnsi="宋体" w:cs="宋体"/>
                <w:color w:val="000000"/>
                <w:kern w:val="0"/>
                <w:sz w:val="18"/>
                <w:szCs w:val="18"/>
              </w:rPr>
            </w:pPr>
            <w:r>
              <w:rPr>
                <w:rFonts w:hint="eastAsia" w:ascii="宋体" w:hAnsi="宋体" w:cs="宋体"/>
                <w:color w:val="000000"/>
                <w:kern w:val="0"/>
                <w:sz w:val="18"/>
                <w:szCs w:val="18"/>
              </w:rPr>
              <w:t>说明</w:t>
            </w:r>
          </w:p>
        </w:tc>
        <w:tc>
          <w:tcPr>
            <w:tcW w:w="1142" w:type="dxa"/>
            <w:tcBorders>
              <w:top w:val="nil"/>
              <w:left w:val="nil"/>
              <w:bottom w:val="single" w:color="auto" w:sz="4" w:space="0"/>
              <w:right w:val="single" w:color="auto" w:sz="4" w:space="0"/>
            </w:tcBorders>
            <w:vAlign w:val="center"/>
          </w:tcPr>
          <w:p w14:paraId="5D5DC461">
            <w:pPr>
              <w:widowControl/>
              <w:jc w:val="center"/>
              <w:rPr>
                <w:rFonts w:ascii="宋体" w:hAnsi="宋体" w:cs="宋体"/>
                <w:color w:val="000000"/>
                <w:kern w:val="0"/>
                <w:sz w:val="18"/>
                <w:szCs w:val="18"/>
              </w:rPr>
            </w:pPr>
            <w:r>
              <w:rPr>
                <w:rFonts w:hint="eastAsia" w:ascii="宋体" w:hAnsi="宋体" w:cs="宋体"/>
                <w:color w:val="000000"/>
                <w:kern w:val="0"/>
                <w:sz w:val="18"/>
                <w:szCs w:val="18"/>
              </w:rPr>
              <w:t>备注</w:t>
            </w:r>
          </w:p>
        </w:tc>
      </w:tr>
      <w:tr w14:paraId="5DA24A18">
        <w:tblPrEx>
          <w:tblCellMar>
            <w:top w:w="0" w:type="dxa"/>
            <w:left w:w="108" w:type="dxa"/>
            <w:bottom w:w="0" w:type="dxa"/>
            <w:right w:w="108" w:type="dxa"/>
          </w:tblCellMar>
        </w:tblPrEx>
        <w:trPr>
          <w:trHeight w:val="270" w:hRule="atLeast"/>
        </w:trPr>
        <w:tc>
          <w:tcPr>
            <w:tcW w:w="636" w:type="dxa"/>
            <w:tcBorders>
              <w:top w:val="nil"/>
              <w:left w:val="single" w:color="auto" w:sz="4" w:space="0"/>
              <w:bottom w:val="single" w:color="auto" w:sz="4" w:space="0"/>
              <w:right w:val="single" w:color="auto" w:sz="4" w:space="0"/>
            </w:tcBorders>
            <w:vAlign w:val="center"/>
          </w:tcPr>
          <w:p w14:paraId="4A1B9F8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23" w:type="dxa"/>
            <w:tcBorders>
              <w:top w:val="nil"/>
              <w:left w:val="nil"/>
              <w:bottom w:val="single" w:color="auto" w:sz="4" w:space="0"/>
              <w:right w:val="single" w:color="auto" w:sz="4" w:space="0"/>
            </w:tcBorders>
            <w:vAlign w:val="center"/>
          </w:tcPr>
          <w:p w14:paraId="20C3A53C">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27" w:type="dxa"/>
            <w:tcBorders>
              <w:top w:val="nil"/>
              <w:left w:val="nil"/>
              <w:bottom w:val="single" w:color="auto" w:sz="4" w:space="0"/>
              <w:right w:val="single" w:color="auto" w:sz="4" w:space="0"/>
            </w:tcBorders>
            <w:vAlign w:val="center"/>
          </w:tcPr>
          <w:p w14:paraId="0CA6A23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017" w:type="dxa"/>
            <w:tcBorders>
              <w:top w:val="nil"/>
              <w:left w:val="nil"/>
              <w:bottom w:val="single" w:color="auto" w:sz="4" w:space="0"/>
              <w:right w:val="single" w:color="auto" w:sz="4" w:space="0"/>
            </w:tcBorders>
            <w:vAlign w:val="center"/>
          </w:tcPr>
          <w:p w14:paraId="6FA9493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4C6B39F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489AC6C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913" w:type="dxa"/>
            <w:tcBorders>
              <w:top w:val="nil"/>
              <w:left w:val="nil"/>
              <w:bottom w:val="single" w:color="auto" w:sz="4" w:space="0"/>
              <w:right w:val="single" w:color="auto" w:sz="4" w:space="0"/>
            </w:tcBorders>
            <w:vAlign w:val="center"/>
          </w:tcPr>
          <w:p w14:paraId="74C81C7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4" w:type="dxa"/>
            <w:tcBorders>
              <w:top w:val="nil"/>
              <w:left w:val="nil"/>
              <w:bottom w:val="single" w:color="auto" w:sz="4" w:space="0"/>
              <w:right w:val="single" w:color="auto" w:sz="4" w:space="0"/>
            </w:tcBorders>
            <w:vAlign w:val="center"/>
          </w:tcPr>
          <w:p w14:paraId="3BF954E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2" w:type="dxa"/>
            <w:tcBorders>
              <w:top w:val="nil"/>
              <w:left w:val="nil"/>
              <w:bottom w:val="single" w:color="auto" w:sz="4" w:space="0"/>
              <w:right w:val="single" w:color="auto" w:sz="4" w:space="0"/>
            </w:tcBorders>
            <w:vAlign w:val="center"/>
          </w:tcPr>
          <w:p w14:paraId="673B010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38A1308">
        <w:tblPrEx>
          <w:tblCellMar>
            <w:top w:w="0" w:type="dxa"/>
            <w:left w:w="108" w:type="dxa"/>
            <w:bottom w:w="0" w:type="dxa"/>
            <w:right w:w="108" w:type="dxa"/>
          </w:tblCellMar>
        </w:tblPrEx>
        <w:trPr>
          <w:trHeight w:val="270" w:hRule="atLeast"/>
        </w:trPr>
        <w:tc>
          <w:tcPr>
            <w:tcW w:w="636" w:type="dxa"/>
            <w:tcBorders>
              <w:top w:val="nil"/>
              <w:left w:val="single" w:color="auto" w:sz="4" w:space="0"/>
              <w:bottom w:val="single" w:color="auto" w:sz="4" w:space="0"/>
              <w:right w:val="single" w:color="auto" w:sz="4" w:space="0"/>
            </w:tcBorders>
            <w:vAlign w:val="center"/>
          </w:tcPr>
          <w:p w14:paraId="3601668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23" w:type="dxa"/>
            <w:tcBorders>
              <w:top w:val="nil"/>
              <w:left w:val="nil"/>
              <w:bottom w:val="single" w:color="auto" w:sz="4" w:space="0"/>
              <w:right w:val="single" w:color="auto" w:sz="4" w:space="0"/>
            </w:tcBorders>
            <w:vAlign w:val="center"/>
          </w:tcPr>
          <w:p w14:paraId="6EC7A49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27" w:type="dxa"/>
            <w:tcBorders>
              <w:top w:val="nil"/>
              <w:left w:val="nil"/>
              <w:bottom w:val="single" w:color="auto" w:sz="4" w:space="0"/>
              <w:right w:val="single" w:color="auto" w:sz="4" w:space="0"/>
            </w:tcBorders>
            <w:vAlign w:val="center"/>
          </w:tcPr>
          <w:p w14:paraId="7C01C9E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017" w:type="dxa"/>
            <w:tcBorders>
              <w:top w:val="nil"/>
              <w:left w:val="nil"/>
              <w:bottom w:val="single" w:color="auto" w:sz="4" w:space="0"/>
              <w:right w:val="single" w:color="auto" w:sz="4" w:space="0"/>
            </w:tcBorders>
            <w:vAlign w:val="center"/>
          </w:tcPr>
          <w:p w14:paraId="6BABCB2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389CA8F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6D0A44C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913" w:type="dxa"/>
            <w:tcBorders>
              <w:top w:val="nil"/>
              <w:left w:val="nil"/>
              <w:bottom w:val="single" w:color="auto" w:sz="4" w:space="0"/>
              <w:right w:val="single" w:color="auto" w:sz="4" w:space="0"/>
            </w:tcBorders>
            <w:vAlign w:val="center"/>
          </w:tcPr>
          <w:p w14:paraId="3DFD393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4" w:type="dxa"/>
            <w:tcBorders>
              <w:top w:val="nil"/>
              <w:left w:val="nil"/>
              <w:bottom w:val="single" w:color="auto" w:sz="4" w:space="0"/>
              <w:right w:val="single" w:color="auto" w:sz="4" w:space="0"/>
            </w:tcBorders>
            <w:vAlign w:val="center"/>
          </w:tcPr>
          <w:p w14:paraId="3689ED25">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2" w:type="dxa"/>
            <w:tcBorders>
              <w:top w:val="nil"/>
              <w:left w:val="nil"/>
              <w:bottom w:val="single" w:color="auto" w:sz="4" w:space="0"/>
              <w:right w:val="single" w:color="auto" w:sz="4" w:space="0"/>
            </w:tcBorders>
            <w:vAlign w:val="center"/>
          </w:tcPr>
          <w:p w14:paraId="645B745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48FF7802">
        <w:tblPrEx>
          <w:tblCellMar>
            <w:top w:w="0" w:type="dxa"/>
            <w:left w:w="108" w:type="dxa"/>
            <w:bottom w:w="0" w:type="dxa"/>
            <w:right w:w="108" w:type="dxa"/>
          </w:tblCellMar>
        </w:tblPrEx>
        <w:trPr>
          <w:trHeight w:val="270" w:hRule="atLeast"/>
        </w:trPr>
        <w:tc>
          <w:tcPr>
            <w:tcW w:w="636" w:type="dxa"/>
            <w:tcBorders>
              <w:top w:val="nil"/>
              <w:left w:val="single" w:color="auto" w:sz="4" w:space="0"/>
              <w:bottom w:val="single" w:color="auto" w:sz="4" w:space="0"/>
              <w:right w:val="single" w:color="auto" w:sz="4" w:space="0"/>
            </w:tcBorders>
            <w:vAlign w:val="center"/>
          </w:tcPr>
          <w:p w14:paraId="0308D7F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23" w:type="dxa"/>
            <w:tcBorders>
              <w:top w:val="nil"/>
              <w:left w:val="nil"/>
              <w:bottom w:val="single" w:color="auto" w:sz="4" w:space="0"/>
              <w:right w:val="single" w:color="auto" w:sz="4" w:space="0"/>
            </w:tcBorders>
            <w:vAlign w:val="center"/>
          </w:tcPr>
          <w:p w14:paraId="0551480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227" w:type="dxa"/>
            <w:tcBorders>
              <w:top w:val="nil"/>
              <w:left w:val="nil"/>
              <w:bottom w:val="single" w:color="auto" w:sz="4" w:space="0"/>
              <w:right w:val="single" w:color="auto" w:sz="4" w:space="0"/>
            </w:tcBorders>
            <w:vAlign w:val="center"/>
          </w:tcPr>
          <w:p w14:paraId="1A457B6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017" w:type="dxa"/>
            <w:tcBorders>
              <w:top w:val="nil"/>
              <w:left w:val="nil"/>
              <w:bottom w:val="single" w:color="auto" w:sz="4" w:space="0"/>
              <w:right w:val="single" w:color="auto" w:sz="4" w:space="0"/>
            </w:tcBorders>
            <w:vAlign w:val="center"/>
          </w:tcPr>
          <w:p w14:paraId="769C121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5C6F250E">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609" w:type="dxa"/>
            <w:tcBorders>
              <w:top w:val="nil"/>
              <w:left w:val="nil"/>
              <w:bottom w:val="single" w:color="auto" w:sz="4" w:space="0"/>
              <w:right w:val="single" w:color="auto" w:sz="4" w:space="0"/>
            </w:tcBorders>
            <w:vAlign w:val="center"/>
          </w:tcPr>
          <w:p w14:paraId="2EED75C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913" w:type="dxa"/>
            <w:tcBorders>
              <w:top w:val="nil"/>
              <w:left w:val="nil"/>
              <w:bottom w:val="single" w:color="auto" w:sz="4" w:space="0"/>
              <w:right w:val="single" w:color="auto" w:sz="4" w:space="0"/>
            </w:tcBorders>
            <w:vAlign w:val="center"/>
          </w:tcPr>
          <w:p w14:paraId="66CB6DF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4" w:type="dxa"/>
            <w:tcBorders>
              <w:top w:val="nil"/>
              <w:left w:val="nil"/>
              <w:bottom w:val="single" w:color="auto" w:sz="4" w:space="0"/>
              <w:right w:val="single" w:color="auto" w:sz="4" w:space="0"/>
            </w:tcBorders>
            <w:vAlign w:val="center"/>
          </w:tcPr>
          <w:p w14:paraId="25476CF0">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142" w:type="dxa"/>
            <w:tcBorders>
              <w:top w:val="nil"/>
              <w:left w:val="nil"/>
              <w:bottom w:val="single" w:color="auto" w:sz="4" w:space="0"/>
              <w:right w:val="single" w:color="auto" w:sz="4" w:space="0"/>
            </w:tcBorders>
            <w:vAlign w:val="center"/>
          </w:tcPr>
          <w:p w14:paraId="402AE77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bl>
    <w:p w14:paraId="0BABB727">
      <w:pPr>
        <w:adjustRightInd w:val="0"/>
        <w:snapToGrid w:val="0"/>
        <w:spacing w:line="400" w:lineRule="exact"/>
        <w:ind w:firstLine="480"/>
        <w:rPr>
          <w:rFonts w:ascii="宋体" w:hAnsi="宋体"/>
          <w:b/>
          <w:bCs/>
          <w:sz w:val="28"/>
          <w:szCs w:val="28"/>
        </w:rPr>
      </w:pPr>
      <w:r>
        <w:rPr>
          <w:rFonts w:hint="eastAsia" w:ascii="宋体" w:hAnsi="宋体"/>
          <w:b/>
          <w:bCs/>
          <w:sz w:val="24"/>
        </w:rPr>
        <w:t>投标相关文件要求：</w:t>
      </w:r>
    </w:p>
    <w:p w14:paraId="559DFF26">
      <w:pPr>
        <w:spacing w:line="360" w:lineRule="auto"/>
        <w:ind w:firstLine="565" w:firstLineChars="202"/>
        <w:rPr>
          <w:rFonts w:ascii="宋体" w:hAnsi="宋体"/>
          <w:sz w:val="28"/>
          <w:szCs w:val="28"/>
        </w:rPr>
      </w:pPr>
      <w:r>
        <w:rPr>
          <w:rFonts w:hint="eastAsia" w:ascii="宋体" w:hAnsi="宋体"/>
          <w:sz w:val="28"/>
          <w:szCs w:val="28"/>
        </w:rPr>
        <w:t>1.所有报价均以人民币最终报价，含设备费用、安装调试费、运费、清洁费、退换货费、税费(提供增值税普通发票)、售后服务等全部费用。报价文件中须提供详细报价清单并提供安装调试时间，并满足项目建设方案技术要求</w:t>
      </w:r>
    </w:p>
    <w:p w14:paraId="2952468C">
      <w:pPr>
        <w:spacing w:line="360" w:lineRule="auto"/>
        <w:ind w:firstLine="565" w:firstLineChars="202"/>
        <w:rPr>
          <w:rFonts w:ascii="宋体" w:hAnsi="宋体"/>
          <w:sz w:val="28"/>
          <w:szCs w:val="28"/>
        </w:rPr>
      </w:pPr>
      <w:r>
        <w:rPr>
          <w:rFonts w:hint="eastAsia" w:ascii="宋体" w:hAnsi="宋体"/>
          <w:sz w:val="28"/>
          <w:szCs w:val="28"/>
        </w:rPr>
        <w:t>2.竞谈人须在竞价文件中单独提供一份切实可行的售后服务承诺书，明确质保期内、外的服务条款。</w:t>
      </w:r>
    </w:p>
    <w:p w14:paraId="5469385B">
      <w:pPr>
        <w:spacing w:line="360" w:lineRule="auto"/>
        <w:ind w:firstLine="560" w:firstLineChars="200"/>
        <w:rPr>
          <w:rFonts w:ascii="宋体" w:hAnsi="宋体"/>
          <w:sz w:val="28"/>
          <w:szCs w:val="28"/>
        </w:rPr>
      </w:pPr>
      <w:r>
        <w:rPr>
          <w:rFonts w:hint="eastAsia" w:ascii="宋体" w:hAnsi="宋体"/>
          <w:sz w:val="28"/>
          <w:szCs w:val="28"/>
        </w:rPr>
        <w:t>3.竞谈人在投标的同时请附上企业现行合法有效的营业执照原件（或营业执照公证件）及复印件（盖公章）以及售后服务承诺等相关证明。</w:t>
      </w:r>
    </w:p>
    <w:p w14:paraId="63A3F08B">
      <w:pPr>
        <w:spacing w:line="360" w:lineRule="auto"/>
        <w:ind w:firstLine="565" w:firstLineChars="202"/>
        <w:rPr>
          <w:rFonts w:ascii="宋体" w:hAnsi="宋体"/>
          <w:color w:val="FF0000"/>
          <w:sz w:val="28"/>
          <w:szCs w:val="28"/>
        </w:rPr>
      </w:pPr>
      <w:r>
        <w:rPr>
          <w:rFonts w:hint="eastAsia" w:ascii="宋体" w:hAnsi="宋体"/>
          <w:sz w:val="28"/>
          <w:szCs w:val="28"/>
        </w:rPr>
        <w:t>4.如竞价人单位法定代表人未能到现场参与，委托单位其他人员参与竞谈的，需提供法定代表人授权委托书及竞谈人在本公司购买的近6个月社保证明</w:t>
      </w:r>
      <w:r>
        <w:rPr>
          <w:rFonts w:hint="eastAsia" w:ascii="宋体" w:hAnsi="宋体"/>
          <w:color w:val="FF0000"/>
          <w:sz w:val="28"/>
          <w:szCs w:val="28"/>
          <w:lang w:eastAsia="zh-CN"/>
        </w:rPr>
        <w:t>（谈判现场联网验证或官方渠道核验）</w:t>
      </w:r>
      <w:r>
        <w:rPr>
          <w:rFonts w:hint="eastAsia" w:ascii="宋体" w:hAnsi="宋体"/>
          <w:color w:val="FF0000"/>
          <w:sz w:val="28"/>
          <w:szCs w:val="28"/>
        </w:rPr>
        <w:t>。</w:t>
      </w:r>
    </w:p>
    <w:p w14:paraId="234FFD82">
      <w:pPr>
        <w:tabs>
          <w:tab w:val="left" w:pos="600"/>
        </w:tabs>
        <w:spacing w:line="360" w:lineRule="auto"/>
        <w:ind w:firstLine="560" w:firstLineChars="200"/>
        <w:rPr>
          <w:sz w:val="28"/>
          <w:szCs w:val="28"/>
        </w:rPr>
      </w:pPr>
      <w:r>
        <w:rPr>
          <w:sz w:val="28"/>
          <w:szCs w:val="28"/>
        </w:rPr>
        <w:t>5. ★标书中的报价文件和技术文件需分别独立封装。其中报价文件应包含详细的设备清单及报价；技术文件则必须涵盖资质证明、竞价人提供的近三年内3个以上同类产品的业绩合同复印件（需加盖单位公章）或竞价人提供的厂家近三年内3个以上同类产品的业绩合同复印件（需加盖厂家公章）。此外，技术文件还应包括谈判代表的授权书、社保证明、详细清单、技术参数偏离表、建设方案以及售后服务方案等，且技术文件中严禁包含任何产品报价信息。投标现场还需提供一份U盘，存储上述资质证明、业绩合同复印件、谈判代表的授权书及社保证明等文件的盖章件电子档。</w:t>
      </w:r>
    </w:p>
    <w:p w14:paraId="4EBD251D">
      <w:pPr>
        <w:tabs>
          <w:tab w:val="left" w:pos="600"/>
        </w:tabs>
        <w:spacing w:line="360" w:lineRule="auto"/>
        <w:ind w:firstLine="560" w:firstLineChars="200"/>
        <w:rPr>
          <w:sz w:val="28"/>
          <w:szCs w:val="28"/>
        </w:rPr>
      </w:pPr>
      <w:r>
        <w:rPr>
          <w:sz w:val="28"/>
          <w:szCs w:val="28"/>
        </w:rPr>
        <w:t>6. 对于代理产品的供应商，若中标，在签订合同前，必须提供原厂家的授权书及售后承诺书（需加盖厂家公章）。</w:t>
      </w:r>
    </w:p>
    <w:p w14:paraId="4945AEEA">
      <w:pPr>
        <w:spacing w:line="580" w:lineRule="exact"/>
        <w:ind w:firstLine="849" w:firstLineChars="302"/>
        <w:rPr>
          <w:rFonts w:ascii="宋体" w:hAnsi="宋体"/>
          <w:b/>
          <w:bCs/>
          <w:sz w:val="28"/>
          <w:szCs w:val="28"/>
        </w:rPr>
      </w:pPr>
      <w:r>
        <w:rPr>
          <w:rFonts w:hint="eastAsia" w:ascii="宋体" w:hAnsi="宋体"/>
          <w:b/>
          <w:bCs/>
          <w:sz w:val="28"/>
          <w:szCs w:val="28"/>
        </w:rPr>
        <w:t>六、交货及货款的结算方式：</w:t>
      </w:r>
    </w:p>
    <w:p w14:paraId="115417A2">
      <w:pPr>
        <w:spacing w:line="360" w:lineRule="auto"/>
        <w:ind w:firstLine="560" w:firstLineChars="200"/>
        <w:rPr>
          <w:rFonts w:ascii="宋体" w:hAnsi="宋体"/>
          <w:color w:val="FF0000"/>
          <w:sz w:val="28"/>
          <w:szCs w:val="28"/>
        </w:rPr>
      </w:pPr>
      <w:r>
        <w:rPr>
          <w:rFonts w:hint="eastAsia" w:ascii="宋体" w:hAnsi="宋体"/>
          <w:color w:val="000000"/>
          <w:sz w:val="28"/>
          <w:szCs w:val="28"/>
        </w:rPr>
        <w:t>在合同签订后，严格按照院方指定的时间、地点安装调试完毕，并作好人员培训等相关工作，经验收合格后支付总货款的95</w:t>
      </w:r>
      <w:r>
        <w:rPr>
          <w:rFonts w:ascii="宋体" w:hAnsi="宋体"/>
          <w:color w:val="000000"/>
          <w:sz w:val="28"/>
          <w:szCs w:val="28"/>
        </w:rPr>
        <w:t xml:space="preserve"> %</w:t>
      </w:r>
      <w:r>
        <w:rPr>
          <w:rFonts w:hint="eastAsia" w:ascii="宋体" w:hAnsi="宋体"/>
          <w:color w:val="000000"/>
          <w:sz w:val="28"/>
          <w:szCs w:val="28"/>
        </w:rPr>
        <w:t>，余款5%在质保期满后支付。</w:t>
      </w:r>
    </w:p>
    <w:p w14:paraId="621B6669">
      <w:pPr>
        <w:spacing w:line="360" w:lineRule="auto"/>
        <w:ind w:firstLine="565" w:firstLineChars="201"/>
        <w:rPr>
          <w:rFonts w:ascii="宋体" w:hAnsi="宋体"/>
          <w:b/>
          <w:bCs/>
          <w:sz w:val="28"/>
          <w:szCs w:val="28"/>
        </w:rPr>
      </w:pPr>
      <w:r>
        <w:rPr>
          <w:rFonts w:hint="eastAsia" w:ascii="宋体" w:hAnsi="宋体"/>
          <w:b/>
          <w:bCs/>
          <w:sz w:val="28"/>
          <w:szCs w:val="28"/>
        </w:rPr>
        <w:t>七、谈判有关说明：</w:t>
      </w:r>
    </w:p>
    <w:p w14:paraId="637A2A37">
      <w:pPr>
        <w:spacing w:line="360" w:lineRule="auto"/>
        <w:ind w:firstLine="615"/>
        <w:rPr>
          <w:rFonts w:hint="default" w:ascii="宋体" w:hAnsi="宋体"/>
          <w:sz w:val="28"/>
          <w:szCs w:val="28"/>
          <w:lang w:val="en-US" w:eastAsia="zh-CN"/>
        </w:rPr>
      </w:pPr>
      <w:r>
        <w:rPr>
          <w:rFonts w:hint="eastAsia" w:ascii="宋体" w:hAnsi="宋体"/>
          <w:sz w:val="28"/>
          <w:szCs w:val="28"/>
        </w:rPr>
        <w:t>1.谈判地点：重庆</w:t>
      </w:r>
      <w:r>
        <w:rPr>
          <w:rFonts w:hint="eastAsia" w:ascii="宋体" w:hAnsi="宋体"/>
          <w:sz w:val="28"/>
          <w:szCs w:val="28"/>
          <w:lang w:eastAsia="zh-CN"/>
        </w:rPr>
        <w:t>应用技术职业</w:t>
      </w:r>
      <w:r>
        <w:rPr>
          <w:rFonts w:hint="eastAsia" w:ascii="宋体" w:hAnsi="宋体"/>
          <w:sz w:val="28"/>
          <w:szCs w:val="28"/>
        </w:rPr>
        <w:t>学院</w:t>
      </w:r>
      <w:r>
        <w:rPr>
          <w:rFonts w:hint="eastAsia" w:ascii="宋体" w:hAnsi="宋体"/>
          <w:sz w:val="28"/>
          <w:szCs w:val="28"/>
          <w:lang w:eastAsia="zh-CN"/>
        </w:rPr>
        <w:t>图书综合楼四楼</w:t>
      </w:r>
      <w:r>
        <w:rPr>
          <w:rFonts w:hint="eastAsia" w:ascii="宋体" w:hAnsi="宋体"/>
          <w:sz w:val="28"/>
          <w:szCs w:val="28"/>
          <w:lang w:val="en-US" w:eastAsia="zh-CN"/>
        </w:rPr>
        <w:t>会议室</w:t>
      </w:r>
    </w:p>
    <w:p w14:paraId="0FABDEE7">
      <w:pPr>
        <w:spacing w:line="360" w:lineRule="auto"/>
        <w:ind w:firstLine="615"/>
        <w:rPr>
          <w:rFonts w:hint="eastAsia" w:ascii="宋体" w:hAnsi="宋体" w:eastAsia="宋体"/>
          <w:sz w:val="28"/>
          <w:szCs w:val="28"/>
          <w:lang w:val="en-US" w:eastAsia="zh-CN"/>
        </w:rPr>
      </w:pPr>
      <w:r>
        <w:rPr>
          <w:rFonts w:hint="eastAsia" w:ascii="宋体" w:hAnsi="宋体"/>
          <w:sz w:val="28"/>
          <w:szCs w:val="28"/>
        </w:rPr>
        <w:t>2.谈判时间：</w:t>
      </w:r>
      <w:r>
        <w:rPr>
          <w:rFonts w:hint="eastAsia" w:ascii="宋体" w:hAnsi="宋体"/>
          <w:sz w:val="28"/>
          <w:szCs w:val="28"/>
          <w:lang w:eastAsia="zh-CN"/>
        </w:rPr>
        <w:t>另行通知</w:t>
      </w:r>
    </w:p>
    <w:p w14:paraId="4F92F479">
      <w:pPr>
        <w:spacing w:line="360" w:lineRule="auto"/>
        <w:ind w:firstLine="420" w:firstLineChars="150"/>
        <w:rPr>
          <w:rFonts w:ascii="宋体" w:hAnsi="宋体"/>
          <w:sz w:val="28"/>
          <w:szCs w:val="28"/>
        </w:rPr>
      </w:pPr>
      <w:r>
        <w:rPr>
          <w:rFonts w:hint="eastAsia" w:ascii="宋体" w:hAnsi="宋体"/>
          <w:sz w:val="28"/>
          <w:szCs w:val="28"/>
        </w:rPr>
        <w:t xml:space="preserve"> 3.有关规定：超过谈判截止时间、不密封的谈判文件或不按《谈判文件》规定提交相关资质的谈判，我处恕不接受。</w:t>
      </w:r>
    </w:p>
    <w:p w14:paraId="52F3A873">
      <w:pPr>
        <w:spacing w:line="360" w:lineRule="auto"/>
        <w:ind w:firstLine="565" w:firstLineChars="201"/>
        <w:rPr>
          <w:rFonts w:hint="eastAsia" w:ascii="宋体" w:hAnsi="宋体"/>
          <w:b/>
          <w:bCs/>
          <w:color w:val="auto"/>
          <w:sz w:val="28"/>
          <w:szCs w:val="28"/>
          <w:lang w:val="en-US" w:eastAsia="zh-CN"/>
        </w:rPr>
      </w:pPr>
      <w:r>
        <w:rPr>
          <w:rFonts w:hint="eastAsia" w:ascii="宋体" w:hAnsi="宋体"/>
          <w:b/>
          <w:bCs/>
          <w:color w:val="auto"/>
          <w:sz w:val="28"/>
          <w:szCs w:val="28"/>
        </w:rPr>
        <w:t>八、联系人及联系方式：</w:t>
      </w:r>
      <w:r>
        <w:rPr>
          <w:rFonts w:hint="eastAsia" w:ascii="宋体" w:hAnsi="宋体"/>
          <w:b/>
          <w:bCs/>
          <w:color w:val="auto"/>
          <w:sz w:val="28"/>
          <w:szCs w:val="28"/>
          <w:lang w:eastAsia="zh-CN"/>
        </w:rPr>
        <w:t>周</w:t>
      </w:r>
      <w:r>
        <w:rPr>
          <w:rFonts w:hint="eastAsia" w:ascii="宋体" w:hAnsi="宋体"/>
          <w:b/>
          <w:bCs/>
          <w:color w:val="auto"/>
          <w:sz w:val="28"/>
          <w:szCs w:val="28"/>
        </w:rPr>
        <w:t>老师  023-42</w:t>
      </w:r>
      <w:r>
        <w:rPr>
          <w:rFonts w:hint="eastAsia" w:ascii="宋体" w:hAnsi="宋体"/>
          <w:b/>
          <w:bCs/>
          <w:color w:val="auto"/>
          <w:sz w:val="28"/>
          <w:szCs w:val="28"/>
          <w:lang w:val="en-US" w:eastAsia="zh-CN"/>
        </w:rPr>
        <w:t>860401</w:t>
      </w:r>
    </w:p>
    <w:p w14:paraId="117F3A71">
      <w:pPr>
        <w:spacing w:line="360" w:lineRule="auto"/>
        <w:ind w:firstLine="565" w:firstLineChars="201"/>
        <w:rPr>
          <w:rFonts w:eastAsia="仿宋_GB2312"/>
          <w:b/>
          <w:bCs/>
          <w:color w:val="auto"/>
          <w:sz w:val="28"/>
          <w:szCs w:val="28"/>
        </w:rPr>
      </w:pPr>
      <w:r>
        <w:rPr>
          <w:rFonts w:hint="eastAsia" w:ascii="宋体" w:hAnsi="宋体"/>
          <w:b/>
          <w:bCs/>
          <w:color w:val="auto"/>
          <w:sz w:val="28"/>
          <w:szCs w:val="28"/>
        </w:rPr>
        <w:t>九、凡涉及本次谈判文件的解释权归竞争性谈判管理小组。</w:t>
      </w:r>
    </w:p>
    <w:p w14:paraId="58F1C0AA">
      <w:pPr>
        <w:tabs>
          <w:tab w:val="left" w:pos="600"/>
        </w:tabs>
        <w:spacing w:line="360" w:lineRule="auto"/>
        <w:ind w:firstLine="560" w:firstLineChars="200"/>
        <w:rPr>
          <w:rFonts w:ascii="宋体" w:hAnsi="宋体"/>
          <w:sz w:val="28"/>
          <w:szCs w:val="28"/>
        </w:rPr>
      </w:pPr>
      <w:r>
        <w:rPr>
          <w:rFonts w:hint="eastAsia" w:ascii="宋体" w:hAnsi="宋体"/>
          <w:sz w:val="28"/>
          <w:szCs w:val="28"/>
        </w:rPr>
        <w:t>十、一切与谈判有关的费用，均由竞谈人自理。</w:t>
      </w:r>
    </w:p>
    <w:p w14:paraId="4D791BC3">
      <w:pPr>
        <w:tabs>
          <w:tab w:val="left" w:pos="600"/>
        </w:tabs>
        <w:spacing w:line="360" w:lineRule="auto"/>
        <w:ind w:firstLine="3213" w:firstLineChars="1000"/>
        <w:rPr>
          <w:rFonts w:ascii="宋体" w:hAnsi="宋体"/>
          <w:sz w:val="28"/>
          <w:szCs w:val="28"/>
        </w:rPr>
      </w:pPr>
      <w:r>
        <w:rPr>
          <w:rFonts w:hint="eastAsia" w:ascii="宋体" w:hAnsi="宋体"/>
          <w:b/>
          <w:bCs/>
          <w:sz w:val="32"/>
          <w:szCs w:val="32"/>
        </w:rPr>
        <w:t>第二部分竞争性谈判相关附件</w:t>
      </w:r>
    </w:p>
    <w:p w14:paraId="3A2AF828">
      <w:pPr>
        <w:tabs>
          <w:tab w:val="left" w:pos="600"/>
        </w:tabs>
        <w:spacing w:line="360" w:lineRule="auto"/>
        <w:ind w:firstLine="565" w:firstLineChars="201"/>
        <w:rPr>
          <w:rFonts w:ascii="宋体"/>
          <w:b/>
          <w:bCs/>
          <w:sz w:val="28"/>
          <w:szCs w:val="28"/>
        </w:rPr>
      </w:pPr>
      <w:r>
        <w:rPr>
          <w:rFonts w:hint="eastAsia" w:ascii="宋体" w:hAnsi="宋体"/>
          <w:b/>
          <w:bCs/>
          <w:sz w:val="28"/>
          <w:szCs w:val="28"/>
        </w:rPr>
        <w:t>附件</w:t>
      </w:r>
      <w:r>
        <w:rPr>
          <w:rFonts w:ascii="宋体" w:hAnsi="宋体"/>
          <w:b/>
          <w:bCs/>
          <w:sz w:val="28"/>
          <w:szCs w:val="28"/>
        </w:rPr>
        <w:t>1</w:t>
      </w:r>
      <w:r>
        <w:rPr>
          <w:rFonts w:hint="eastAsia" w:ascii="宋体" w:hAnsi="宋体"/>
          <w:b/>
          <w:bCs/>
          <w:sz w:val="28"/>
          <w:szCs w:val="28"/>
        </w:rPr>
        <w:t>：买卖合同主要条款</w:t>
      </w:r>
    </w:p>
    <w:p w14:paraId="1D7EFB16">
      <w:pPr>
        <w:tabs>
          <w:tab w:val="left" w:pos="600"/>
        </w:tabs>
        <w:spacing w:line="360" w:lineRule="auto"/>
        <w:ind w:firstLine="565" w:firstLineChars="201"/>
        <w:rPr>
          <w:rFonts w:ascii="宋体"/>
          <w:b/>
          <w:bCs/>
          <w:sz w:val="28"/>
          <w:szCs w:val="28"/>
        </w:rPr>
      </w:pPr>
    </w:p>
    <w:p w14:paraId="2B734BB1">
      <w:pPr>
        <w:pStyle w:val="10"/>
        <w:rPr>
          <w:rFonts w:ascii="仿宋" w:hAnsi="仿宋" w:eastAsia="仿宋"/>
          <w:b/>
          <w:sz w:val="36"/>
          <w:szCs w:val="36"/>
        </w:rPr>
      </w:pPr>
      <w:r>
        <w:rPr>
          <w:rFonts w:hint="eastAsia" w:ascii="仿宋" w:hAnsi="仿宋" w:eastAsia="仿宋"/>
          <w:b/>
          <w:sz w:val="36"/>
          <w:szCs w:val="36"/>
        </w:rPr>
        <w:t>买卖合同主要条款</w:t>
      </w:r>
    </w:p>
    <w:p w14:paraId="012B90D5">
      <w:pPr>
        <w:widowControl/>
        <w:adjustRightInd w:val="0"/>
        <w:snapToGrid w:val="0"/>
        <w:spacing w:line="460" w:lineRule="exact"/>
        <w:ind w:firstLine="487" w:firstLineChars="202"/>
        <w:jc w:val="left"/>
        <w:rPr>
          <w:rFonts w:ascii="宋体"/>
          <w:b/>
          <w:sz w:val="24"/>
        </w:rPr>
      </w:pPr>
    </w:p>
    <w:p w14:paraId="7F5FF273">
      <w:pPr>
        <w:widowControl/>
        <w:adjustRightInd w:val="0"/>
        <w:snapToGrid w:val="0"/>
        <w:spacing w:line="460" w:lineRule="exact"/>
        <w:ind w:firstLine="361" w:firstLineChars="150"/>
        <w:jc w:val="left"/>
        <w:rPr>
          <w:rFonts w:hint="eastAsia" w:ascii="宋体" w:eastAsia="宋体"/>
          <w:b/>
          <w:sz w:val="24"/>
          <w:lang w:eastAsia="zh-CN"/>
        </w:rPr>
      </w:pPr>
      <w:r>
        <w:rPr>
          <w:rFonts w:hint="eastAsia" w:ascii="宋体" w:hAnsi="宋体"/>
          <w:b/>
          <w:sz w:val="24"/>
        </w:rPr>
        <w:t>甲方（买方）：</w:t>
      </w:r>
      <w:r>
        <w:rPr>
          <w:rFonts w:hint="eastAsia" w:ascii="宋体" w:hAnsi="宋体"/>
          <w:b/>
          <w:sz w:val="24"/>
          <w:lang w:eastAsia="zh-CN"/>
        </w:rPr>
        <w:t>重庆应用技术职业学院有限责任公司</w:t>
      </w:r>
    </w:p>
    <w:p w14:paraId="1EE51307">
      <w:pPr>
        <w:adjustRightInd w:val="0"/>
        <w:snapToGrid w:val="0"/>
        <w:spacing w:line="460" w:lineRule="exact"/>
        <w:ind w:firstLine="361" w:firstLineChars="150"/>
        <w:rPr>
          <w:rFonts w:ascii="宋体"/>
          <w:b/>
          <w:sz w:val="24"/>
        </w:rPr>
      </w:pPr>
      <w:r>
        <w:rPr>
          <w:rFonts w:hint="eastAsia" w:ascii="宋体" w:hAnsi="宋体"/>
          <w:b/>
          <w:sz w:val="24"/>
        </w:rPr>
        <w:t>乙方（卖方）：</w:t>
      </w:r>
    </w:p>
    <w:p w14:paraId="5517AC1D">
      <w:pPr>
        <w:widowControl/>
        <w:adjustRightInd w:val="0"/>
        <w:snapToGrid w:val="0"/>
        <w:spacing w:line="460" w:lineRule="exact"/>
        <w:ind w:firstLine="487" w:firstLineChars="202"/>
        <w:jc w:val="left"/>
        <w:rPr>
          <w:rFonts w:ascii="宋体"/>
          <w:b/>
          <w:sz w:val="24"/>
        </w:rPr>
      </w:pPr>
    </w:p>
    <w:p w14:paraId="0832B3B3">
      <w:pPr>
        <w:widowControl/>
        <w:adjustRightInd w:val="0"/>
        <w:snapToGrid w:val="0"/>
        <w:spacing w:line="360" w:lineRule="auto"/>
        <w:ind w:firstLine="480" w:firstLineChars="200"/>
        <w:rPr>
          <w:rFonts w:ascii="等线" w:hAnsi="等线" w:eastAsia="等线"/>
          <w:color w:val="000000"/>
          <w:sz w:val="24"/>
        </w:rPr>
      </w:pPr>
      <w:r>
        <w:rPr>
          <w:rFonts w:hint="eastAsia" w:ascii="宋体" w:hAnsi="宋体"/>
          <w:color w:val="000000"/>
          <w:sz w:val="24"/>
        </w:rPr>
        <w:t>甲乙双方就甲方向乙方购买事宜，</w:t>
      </w:r>
      <w:r>
        <w:rPr>
          <w:rFonts w:hint="eastAsia" w:ascii="等线" w:hAnsi="等线" w:eastAsia="等线"/>
          <w:color w:val="000000"/>
          <w:sz w:val="24"/>
        </w:rPr>
        <w:t>经友好协商一致，达成如下条款供双方遵守：</w:t>
      </w:r>
    </w:p>
    <w:p w14:paraId="1C24815E">
      <w:pPr>
        <w:widowControl/>
        <w:adjustRightInd w:val="0"/>
        <w:snapToGrid w:val="0"/>
        <w:spacing w:line="440" w:lineRule="exact"/>
        <w:ind w:firstLine="484" w:firstLineChars="202"/>
        <w:rPr>
          <w:rFonts w:ascii="宋体"/>
          <w:color w:val="000000"/>
          <w:sz w:val="24"/>
        </w:rPr>
      </w:pPr>
      <w:r>
        <w:rPr>
          <w:rFonts w:hint="eastAsia" w:ascii="宋体" w:hAnsi="宋体"/>
          <w:color w:val="000000"/>
          <w:sz w:val="24"/>
        </w:rPr>
        <w:t>（注：以下内容为买卖合同的主要条款）</w:t>
      </w:r>
    </w:p>
    <w:p w14:paraId="3F83B47C">
      <w:pPr>
        <w:pStyle w:val="40"/>
        <w:widowControl/>
        <w:adjustRightInd w:val="0"/>
        <w:snapToGrid w:val="0"/>
        <w:spacing w:line="440" w:lineRule="exact"/>
        <w:ind w:left="568" w:firstLine="0" w:firstLineChars="0"/>
        <w:jc w:val="left"/>
        <w:rPr>
          <w:b/>
          <w:color w:val="000000"/>
          <w:sz w:val="24"/>
        </w:rPr>
      </w:pPr>
      <w:r>
        <w:rPr>
          <w:rFonts w:hint="eastAsia"/>
          <w:b/>
          <w:color w:val="000000"/>
          <w:sz w:val="24"/>
        </w:rPr>
        <w:t>一、标的物情况及价格</w:t>
      </w:r>
    </w:p>
    <w:p w14:paraId="3AAFE1DF">
      <w:pPr>
        <w:widowControl/>
        <w:adjustRightInd w:val="0"/>
        <w:snapToGrid w:val="0"/>
        <w:spacing w:line="440" w:lineRule="exact"/>
        <w:ind w:left="1" w:firstLine="360" w:firstLineChars="150"/>
        <w:jc w:val="left"/>
        <w:rPr>
          <w:rFonts w:ascii="宋体"/>
          <w:color w:val="000000"/>
          <w:sz w:val="24"/>
        </w:rPr>
      </w:pPr>
      <w:r>
        <w:rPr>
          <w:rFonts w:hint="eastAsia" w:ascii="宋体" w:hAnsi="宋体"/>
          <w:color w:val="000000"/>
          <w:sz w:val="24"/>
        </w:rPr>
        <w:t>（二）合同总价格为</w:t>
      </w:r>
      <w:r>
        <w:rPr>
          <w:rFonts w:hint="eastAsia" w:ascii="宋体" w:hAnsi="宋体"/>
          <w:bCs/>
          <w:color w:val="000000"/>
          <w:sz w:val="24"/>
        </w:rPr>
        <w:t>（大写）：</w:t>
      </w:r>
      <w:r>
        <w:rPr>
          <w:rFonts w:hint="eastAsia" w:ascii="宋体" w:hAnsi="宋体"/>
          <w:color w:val="000000"/>
          <w:sz w:val="24"/>
        </w:rPr>
        <w:t>（小写：￥</w:t>
      </w:r>
      <w:r>
        <w:rPr>
          <w:rFonts w:ascii="宋体"/>
          <w:color w:val="000000"/>
          <w:sz w:val="24"/>
        </w:rPr>
        <w:t>0</w:t>
      </w:r>
      <w:r>
        <w:rPr>
          <w:rFonts w:ascii="宋体" w:cs="宋体"/>
          <w:color w:val="000000"/>
          <w:kern w:val="0"/>
          <w:sz w:val="24"/>
        </w:rPr>
        <w:t>00,000.00</w:t>
      </w:r>
      <w:r>
        <w:rPr>
          <w:rFonts w:hint="eastAsia" w:ascii="宋体" w:hAnsi="宋体"/>
          <w:color w:val="000000"/>
          <w:sz w:val="24"/>
        </w:rPr>
        <w:t>），本价格包含产品（设备）价格、运输费、搬运费、质保期内售后服务费、退换货运费、清洁费、安装调试费（设备）、税金等全部费用在内，除本合同约定外，乙方不得要求甲方另行支付任何费用。</w:t>
      </w:r>
    </w:p>
    <w:p w14:paraId="08790646">
      <w:pPr>
        <w:widowControl/>
        <w:adjustRightInd w:val="0"/>
        <w:snapToGrid w:val="0"/>
        <w:spacing w:line="440" w:lineRule="exact"/>
        <w:ind w:left="1" w:firstLine="360" w:firstLineChars="150"/>
        <w:jc w:val="left"/>
        <w:rPr>
          <w:rFonts w:ascii="宋体"/>
          <w:color w:val="000000"/>
          <w:sz w:val="24"/>
        </w:rPr>
      </w:pPr>
      <w:r>
        <w:rPr>
          <w:rFonts w:hint="eastAsia" w:ascii="宋体" w:hAnsi="宋体"/>
          <w:color w:val="000000"/>
          <w:sz w:val="24"/>
        </w:rPr>
        <w:t>（三）乙方承诺本合同销售产品（设备）单价不高于</w:t>
      </w:r>
      <w:bookmarkStart w:id="1" w:name="_Hlk15208814"/>
      <w:r>
        <w:rPr>
          <w:rFonts w:hint="eastAsia" w:ascii="宋体" w:hAnsi="宋体"/>
          <w:color w:val="000000"/>
          <w:sz w:val="24"/>
        </w:rPr>
        <w:t>乙方销售给第三人的价格或市场平均价格</w:t>
      </w:r>
      <w:bookmarkEnd w:id="1"/>
      <w:r>
        <w:rPr>
          <w:rFonts w:hint="eastAsia" w:ascii="宋体" w:hAnsi="宋体"/>
          <w:color w:val="000000"/>
          <w:sz w:val="24"/>
        </w:rPr>
        <w:t>（含网络销售平台平均价格）。若甲方发现向乙方购买的产品（设备）单价高于第三人的购买价格或市场平均价格，则乙方按高出部分的两倍向甲方支付违约金。价格承诺期为年月日起至年月日止。</w:t>
      </w:r>
    </w:p>
    <w:p w14:paraId="25F2723D">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40" w:lineRule="exact"/>
        <w:ind w:left="-178" w:leftChars="-85" w:firstLine="605" w:firstLineChars="251"/>
        <w:jc w:val="left"/>
        <w:rPr>
          <w:b/>
          <w:color w:val="000000"/>
          <w:sz w:val="24"/>
        </w:rPr>
      </w:pPr>
      <w:r>
        <w:rPr>
          <w:rFonts w:hint="eastAsia"/>
          <w:b/>
          <w:color w:val="000000"/>
          <w:sz w:val="24"/>
        </w:rPr>
        <w:t>三、交货时间</w:t>
      </w:r>
    </w:p>
    <w:p w14:paraId="61155A96">
      <w:pPr>
        <w:pStyle w:val="40"/>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40" w:lineRule="exact"/>
        <w:ind w:firstLine="484" w:firstLineChars="202"/>
        <w:rPr>
          <w:color w:val="C0504D"/>
          <w:sz w:val="24"/>
        </w:rPr>
      </w:pPr>
      <w:r>
        <w:rPr>
          <w:rFonts w:hint="eastAsia"/>
          <w:color w:val="000000"/>
          <w:sz w:val="24"/>
        </w:rPr>
        <w:t>甲乙双方签定合同后，乙方须在年月日之前将甲方订购的产品送到甲方指定的地点（设备须在此期限按要求安装完毕，并能投入正常使用）并经甲方验收合格。否则每延迟一日，按合同价款的千分之五向甲方支付违约金。乙方逾期十日仍不能交货的，甲方有权解除合同，尚未支付的货款不予支付，已经支付的货款乙方须全额返还，同时乙方须按本合同交易总金额的</w:t>
      </w:r>
      <w:r>
        <w:rPr>
          <w:color w:val="000000"/>
          <w:sz w:val="24"/>
        </w:rPr>
        <w:t>20%</w:t>
      </w:r>
      <w:r>
        <w:rPr>
          <w:rFonts w:hint="eastAsia"/>
          <w:color w:val="000000"/>
          <w:sz w:val="24"/>
        </w:rPr>
        <w:t>向甲方承担违约金。</w:t>
      </w:r>
    </w:p>
    <w:p w14:paraId="0B4110D3">
      <w:pPr>
        <w:adjustRightInd w:val="0"/>
        <w:snapToGrid w:val="0"/>
        <w:spacing w:line="440" w:lineRule="exact"/>
        <w:ind w:firstLine="482" w:firstLineChars="200"/>
        <w:rPr>
          <w:rFonts w:ascii="宋体"/>
          <w:b/>
          <w:color w:val="000000"/>
          <w:sz w:val="24"/>
        </w:rPr>
      </w:pPr>
      <w:r>
        <w:rPr>
          <w:rFonts w:hint="eastAsia" w:ascii="宋体" w:hAnsi="宋体"/>
          <w:b/>
          <w:color w:val="000000"/>
          <w:sz w:val="24"/>
        </w:rPr>
        <w:t>六、付款方式</w:t>
      </w:r>
    </w:p>
    <w:p w14:paraId="5A2F2A72">
      <w:pPr>
        <w:adjustRightInd w:val="0"/>
        <w:snapToGrid w:val="0"/>
        <w:spacing w:line="440" w:lineRule="exact"/>
        <w:ind w:firstLine="360" w:firstLineChars="150"/>
        <w:rPr>
          <w:rFonts w:ascii="宋体"/>
          <w:color w:val="000000"/>
          <w:sz w:val="24"/>
        </w:rPr>
      </w:pPr>
      <w:r>
        <w:rPr>
          <w:rFonts w:hint="eastAsia" w:ascii="宋体" w:hAnsi="宋体"/>
          <w:color w:val="000000"/>
          <w:sz w:val="24"/>
        </w:rPr>
        <w:t>（一）乙方将全部产品（设备）送达甲方指定地点（设备须安装调试完毕），经甲方代表验收合格，在验收单上签字确认后，甲方向乙方支付合同总金额的</w:t>
      </w:r>
      <w:r>
        <w:rPr>
          <w:rFonts w:ascii="宋体" w:hAnsi="宋体"/>
          <w:color w:val="000000"/>
          <w:sz w:val="24"/>
          <w:u w:val="single"/>
        </w:rPr>
        <w:t xml:space="preserve"> 95 </w:t>
      </w:r>
      <w:r>
        <w:rPr>
          <w:rFonts w:ascii="宋体" w:hAnsi="宋体"/>
          <w:color w:val="000000"/>
          <w:sz w:val="24"/>
        </w:rPr>
        <w:t>%</w:t>
      </w:r>
      <w:r>
        <w:rPr>
          <w:rFonts w:hint="eastAsia" w:ascii="宋体" w:hAnsi="宋体"/>
          <w:color w:val="000000"/>
          <w:sz w:val="24"/>
        </w:rPr>
        <w:t>，质保期满后支付余款（因乙方未能按本合同约定提供售后质保服务，质保金应扣除部分除外）。</w:t>
      </w:r>
    </w:p>
    <w:p w14:paraId="5E7C2F4E">
      <w:pPr>
        <w:widowControl/>
        <w:adjustRightInd w:val="0"/>
        <w:snapToGrid w:val="0"/>
        <w:spacing w:line="440" w:lineRule="exact"/>
        <w:ind w:firstLine="364" w:firstLineChars="152"/>
        <w:jc w:val="left"/>
        <w:rPr>
          <w:rFonts w:ascii="宋体"/>
          <w:color w:val="000000"/>
          <w:sz w:val="24"/>
        </w:rPr>
      </w:pPr>
      <w:r>
        <w:rPr>
          <w:rFonts w:hint="eastAsia" w:ascii="宋体" w:hAnsi="宋体"/>
          <w:color w:val="000000"/>
          <w:sz w:val="24"/>
        </w:rPr>
        <w:t>（四）在甲方支付合同款项前，乙方须向甲方送交合法有效的全额增值税</w:t>
      </w:r>
      <w:r>
        <w:rPr>
          <w:rFonts w:hint="eastAsia" w:ascii="宋体" w:hAnsi="宋体"/>
          <w:b/>
          <w:bCs/>
          <w:color w:val="FF0000"/>
          <w:sz w:val="24"/>
        </w:rPr>
        <w:t>普通</w:t>
      </w:r>
      <w:r>
        <w:rPr>
          <w:rFonts w:hint="eastAsia" w:ascii="宋体" w:hAnsi="宋体"/>
          <w:color w:val="000000"/>
          <w:sz w:val="24"/>
        </w:rPr>
        <w:t>发票。若乙方未按期送交合法有效的全额发票，则甲方付款时间自动顺延，甲方不承担迟延付款的任何责任。</w:t>
      </w:r>
    </w:p>
    <w:p w14:paraId="5D2F9FA5">
      <w:pPr>
        <w:pStyle w:val="40"/>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40" w:lineRule="exact"/>
        <w:ind w:firstLine="602" w:firstLineChars="250"/>
        <w:jc w:val="left"/>
        <w:rPr>
          <w:b/>
          <w:color w:val="000000"/>
          <w:sz w:val="24"/>
        </w:rPr>
      </w:pPr>
      <w:r>
        <w:rPr>
          <w:rFonts w:hint="eastAsia"/>
          <w:b/>
          <w:color w:val="000000"/>
          <w:sz w:val="24"/>
        </w:rPr>
        <w:t>七、售后服务</w:t>
      </w:r>
    </w:p>
    <w:p w14:paraId="070C74C1">
      <w:pPr>
        <w:pStyle w:val="40"/>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40" w:lineRule="exact"/>
        <w:ind w:firstLine="484" w:firstLineChars="202"/>
        <w:jc w:val="left"/>
        <w:rPr>
          <w:color w:val="000000"/>
          <w:sz w:val="24"/>
        </w:rPr>
      </w:pPr>
      <w:r>
        <w:rPr>
          <w:color w:val="000000"/>
          <w:sz w:val="24"/>
        </w:rPr>
        <w:t>1</w:t>
      </w:r>
      <w:r>
        <w:rPr>
          <w:rFonts w:hint="eastAsia"/>
          <w:color w:val="000000"/>
          <w:sz w:val="24"/>
        </w:rPr>
        <w:t>、所有物品自验收合格之日起</w:t>
      </w:r>
      <w:r>
        <w:rPr>
          <w:rFonts w:hint="eastAsia"/>
          <w:color w:val="000000"/>
          <w:sz w:val="24"/>
          <w:lang w:eastAsia="zh-CN"/>
        </w:rPr>
        <w:t>叁</w:t>
      </w:r>
      <w:bookmarkStart w:id="2" w:name="_GoBack"/>
      <w:bookmarkEnd w:id="2"/>
      <w:r>
        <w:rPr>
          <w:rFonts w:hint="eastAsia"/>
          <w:color w:val="000000"/>
          <w:sz w:val="24"/>
        </w:rPr>
        <w:t>年为质保期。质保期内产品（设备）出现质量问题，乙方必须无条件免费维修或更换。</w:t>
      </w:r>
    </w:p>
    <w:p w14:paraId="03E7D49A">
      <w:pPr>
        <w:pStyle w:val="40"/>
        <w:widowControl/>
        <w:tabs>
          <w:tab w:val="left" w:pos="426"/>
          <w:tab w:val="left" w:pos="567"/>
          <w:tab w:val="left" w:pos="709"/>
        </w:tabs>
        <w:adjustRightInd w:val="0"/>
        <w:snapToGrid w:val="0"/>
        <w:spacing w:line="440" w:lineRule="exact"/>
        <w:ind w:firstLine="484" w:firstLineChars="202"/>
        <w:jc w:val="left"/>
        <w:rPr>
          <w:color w:val="000000"/>
          <w:sz w:val="24"/>
        </w:rPr>
      </w:pPr>
      <w:r>
        <w:rPr>
          <w:color w:val="000000"/>
          <w:sz w:val="24"/>
        </w:rPr>
        <w:t>2</w:t>
      </w:r>
      <w:r>
        <w:rPr>
          <w:rFonts w:hint="eastAsia"/>
          <w:color w:val="000000"/>
          <w:sz w:val="24"/>
        </w:rPr>
        <w:t>、乙方在质保期内接到甲方维修、换货、技术支持等售后服务需求的电话、短信息或电子邮件通知后，乙方需在</w:t>
      </w:r>
      <w:r>
        <w:rPr>
          <w:color w:val="000000"/>
          <w:sz w:val="24"/>
        </w:rPr>
        <w:t>2</w:t>
      </w:r>
      <w:r>
        <w:rPr>
          <w:rFonts w:hint="eastAsia"/>
          <w:color w:val="000000"/>
          <w:sz w:val="24"/>
        </w:rPr>
        <w:t>小时内作出售后服务承诺，并在</w:t>
      </w:r>
      <w:r>
        <w:rPr>
          <w:color w:val="000000"/>
          <w:sz w:val="24"/>
        </w:rPr>
        <w:t>24</w:t>
      </w:r>
      <w:r>
        <w:rPr>
          <w:rFonts w:hint="eastAsia"/>
          <w:color w:val="000000"/>
          <w:sz w:val="24"/>
        </w:rPr>
        <w:t>小时内上门服务。</w:t>
      </w:r>
    </w:p>
    <w:p w14:paraId="6FD3CC2B">
      <w:pPr>
        <w:pStyle w:val="40"/>
        <w:widowControl/>
        <w:tabs>
          <w:tab w:val="left" w:pos="426"/>
          <w:tab w:val="left" w:pos="567"/>
          <w:tab w:val="left" w:pos="709"/>
        </w:tabs>
        <w:adjustRightInd w:val="0"/>
        <w:snapToGrid w:val="0"/>
        <w:spacing w:line="440" w:lineRule="exact"/>
        <w:ind w:firstLine="487" w:firstLineChars="202"/>
        <w:jc w:val="left"/>
        <w:rPr>
          <w:b/>
          <w:bCs/>
          <w:sz w:val="24"/>
        </w:rPr>
      </w:pPr>
      <w:r>
        <w:rPr>
          <w:rFonts w:hint="eastAsia"/>
          <w:b/>
          <w:bCs/>
          <w:sz w:val="24"/>
        </w:rPr>
        <w:t>（备注：《买卖合同》的其他条款详见届时双方签订的合同）</w:t>
      </w:r>
    </w:p>
    <w:p w14:paraId="2B4C7E9D">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rPr>
      </w:pPr>
    </w:p>
    <w:p w14:paraId="30A22394">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rPr>
      </w:pPr>
    </w:p>
    <w:p w14:paraId="573BB6BC">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28DE3F90">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7139350D">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AB52756">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52B2F292">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610AD32">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8D12F0E">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4C070866">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44DA0280">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7A9ED358">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A1ED7EC">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4C4E4370">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717DFD32">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09675B62">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5D296796">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1877CD0C">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4701F9E2">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1DC399B">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689AB55D">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122CAA9F">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569A5693">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79F823CF">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3F82B74F">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14BF15F6">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01BA440E">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p>
    <w:p w14:paraId="61D17DB6">
      <w:pPr>
        <w:pStyle w:val="40"/>
        <w:widowControl/>
        <w:tabs>
          <w:tab w:val="left" w:pos="916"/>
          <w:tab w:val="left" w:pos="1832"/>
          <w:tab w:val="left" w:pos="2748"/>
          <w:tab w:val="left" w:pos="3664"/>
          <w:tab w:val="left" w:pos="4580"/>
          <w:tab w:val="left" w:pos="5496"/>
          <w:tab w:val="left" w:pos="6412"/>
          <w:tab w:val="left" w:pos="7328"/>
          <w:tab w:val="left" w:pos="8244"/>
          <w:tab w:val="left" w:pos="8931"/>
          <w:tab w:val="left" w:pos="9000"/>
          <w:tab w:val="left" w:pos="9160"/>
          <w:tab w:val="left" w:pos="10076"/>
          <w:tab w:val="left" w:pos="10992"/>
          <w:tab w:val="left" w:pos="11908"/>
          <w:tab w:val="left" w:pos="12824"/>
          <w:tab w:val="left" w:pos="13740"/>
          <w:tab w:val="left" w:pos="14656"/>
        </w:tabs>
        <w:adjustRightInd w:val="0"/>
        <w:snapToGrid w:val="0"/>
        <w:spacing w:line="420" w:lineRule="exact"/>
        <w:ind w:firstLine="0" w:firstLineChars="0"/>
        <w:rPr>
          <w:b/>
          <w:color w:val="000000"/>
          <w:sz w:val="28"/>
          <w:szCs w:val="28"/>
          <w:lang w:val="zh-CN"/>
        </w:rPr>
      </w:pPr>
      <w:r>
        <w:rPr>
          <w:rFonts w:hint="eastAsia"/>
          <w:b/>
          <w:color w:val="000000"/>
          <w:sz w:val="28"/>
          <w:szCs w:val="28"/>
          <w:lang w:val="zh-CN"/>
        </w:rPr>
        <w:t>附件</w:t>
      </w:r>
      <w:r>
        <w:rPr>
          <w:b/>
          <w:color w:val="000000"/>
          <w:sz w:val="28"/>
          <w:szCs w:val="28"/>
          <w:lang w:val="zh-CN"/>
        </w:rPr>
        <w:t>2</w:t>
      </w:r>
      <w:r>
        <w:rPr>
          <w:rFonts w:hint="eastAsia"/>
          <w:b/>
          <w:color w:val="000000"/>
          <w:sz w:val="28"/>
          <w:szCs w:val="28"/>
          <w:lang w:val="zh-CN"/>
        </w:rPr>
        <w:t>：谈判申请及声明</w:t>
      </w:r>
    </w:p>
    <w:p w14:paraId="3CD0AAE7">
      <w:pPr>
        <w:autoSpaceDE w:val="0"/>
        <w:autoSpaceDN w:val="0"/>
        <w:adjustRightInd w:val="0"/>
        <w:spacing w:line="520" w:lineRule="exact"/>
        <w:rPr>
          <w:rFonts w:ascii="宋体"/>
          <w:color w:val="000000"/>
          <w:sz w:val="28"/>
          <w:szCs w:val="28"/>
          <w:lang w:val="zh-CN"/>
        </w:rPr>
      </w:pPr>
    </w:p>
    <w:p w14:paraId="2C392D18">
      <w:pPr>
        <w:autoSpaceDE w:val="0"/>
        <w:autoSpaceDN w:val="0"/>
        <w:adjustRightInd w:val="0"/>
        <w:spacing w:line="520" w:lineRule="exact"/>
        <w:rPr>
          <w:rFonts w:ascii="宋体"/>
          <w:color w:val="000000"/>
          <w:sz w:val="28"/>
          <w:szCs w:val="28"/>
          <w:lang w:val="zh-CN"/>
        </w:rPr>
      </w:pPr>
      <w:r>
        <w:rPr>
          <w:rFonts w:hint="eastAsia" w:ascii="宋体"/>
          <w:color w:val="000000"/>
          <w:sz w:val="28"/>
          <w:szCs w:val="28"/>
          <w:lang w:val="zh-CN"/>
        </w:rPr>
        <w:t>致：（竞争性谈判人）</w:t>
      </w:r>
    </w:p>
    <w:p w14:paraId="2883CF02">
      <w:pPr>
        <w:autoSpaceDE w:val="0"/>
        <w:autoSpaceDN w:val="0"/>
        <w:adjustRightInd w:val="0"/>
        <w:spacing w:line="520" w:lineRule="exact"/>
        <w:ind w:left="139" w:leftChars="66" w:firstLine="560" w:firstLineChars="200"/>
        <w:rPr>
          <w:rFonts w:ascii="宋体"/>
          <w:color w:val="000000"/>
          <w:sz w:val="28"/>
          <w:szCs w:val="28"/>
          <w:lang w:val="zh-CN"/>
        </w:rPr>
      </w:pPr>
      <w:r>
        <w:rPr>
          <w:rFonts w:hint="eastAsia" w:ascii="宋体"/>
          <w:color w:val="000000"/>
          <w:sz w:val="28"/>
          <w:szCs w:val="28"/>
          <w:lang w:val="zh-CN"/>
        </w:rPr>
        <w:t>根据贵方项目编号的谈判文件，我方正式提交响应性文件正本壹份，副本</w:t>
      </w:r>
      <w:r>
        <w:rPr>
          <w:rFonts w:hint="eastAsia" w:ascii="宋体"/>
          <w:color w:val="000000"/>
          <w:sz w:val="28"/>
          <w:szCs w:val="28"/>
        </w:rPr>
        <w:t>叁</w:t>
      </w:r>
      <w:r>
        <w:rPr>
          <w:rFonts w:hint="eastAsia" w:ascii="宋体"/>
          <w:color w:val="000000"/>
          <w:sz w:val="28"/>
          <w:szCs w:val="28"/>
          <w:lang w:val="zh-CN"/>
        </w:rPr>
        <w:t>份。</w:t>
      </w:r>
    </w:p>
    <w:p w14:paraId="63A938AC">
      <w:pPr>
        <w:spacing w:line="520" w:lineRule="exact"/>
        <w:ind w:firstLine="560" w:firstLineChars="200"/>
        <w:rPr>
          <w:rFonts w:ascii="宋体"/>
          <w:sz w:val="28"/>
          <w:szCs w:val="28"/>
        </w:rPr>
      </w:pPr>
      <w:r>
        <w:rPr>
          <w:rFonts w:hint="eastAsia" w:ascii="宋体" w:hAnsi="宋体"/>
          <w:sz w:val="28"/>
          <w:szCs w:val="28"/>
        </w:rPr>
        <w:t>据此函，签字人兹同意如下：</w:t>
      </w:r>
    </w:p>
    <w:p w14:paraId="6DEFFA1F">
      <w:pPr>
        <w:spacing w:line="520" w:lineRule="exact"/>
        <w:ind w:firstLine="560" w:firstLineChars="200"/>
        <w:rPr>
          <w:rFonts w:ascii="宋体"/>
          <w:sz w:val="28"/>
          <w:szCs w:val="28"/>
        </w:rPr>
      </w:pPr>
      <w:r>
        <w:rPr>
          <w:rFonts w:ascii="宋体" w:hAnsi="宋体"/>
          <w:sz w:val="28"/>
          <w:szCs w:val="28"/>
        </w:rPr>
        <w:t>1</w:t>
      </w:r>
      <w:r>
        <w:rPr>
          <w:rFonts w:ascii="宋体"/>
          <w:sz w:val="28"/>
          <w:szCs w:val="28"/>
        </w:rPr>
        <w:t>.</w:t>
      </w:r>
      <w:r>
        <w:rPr>
          <w:rFonts w:hint="eastAsia" w:ascii="宋体" w:hAnsi="宋体"/>
          <w:sz w:val="28"/>
          <w:szCs w:val="28"/>
        </w:rPr>
        <w:t>我方同意提供贵方可能要求的与本次谈判有关的任何证据或资料。</w:t>
      </w:r>
    </w:p>
    <w:p w14:paraId="2A5B56B9">
      <w:pPr>
        <w:spacing w:line="520" w:lineRule="exact"/>
        <w:ind w:firstLine="560" w:firstLineChars="200"/>
        <w:rPr>
          <w:rFonts w:ascii="宋体"/>
          <w:sz w:val="28"/>
          <w:szCs w:val="28"/>
        </w:rPr>
      </w:pPr>
      <w:r>
        <w:rPr>
          <w:rFonts w:ascii="宋体" w:hAnsi="宋体"/>
          <w:sz w:val="28"/>
          <w:szCs w:val="28"/>
        </w:rPr>
        <w:t>2</w:t>
      </w:r>
      <w:r>
        <w:rPr>
          <w:rFonts w:ascii="宋体"/>
          <w:sz w:val="28"/>
          <w:szCs w:val="28"/>
        </w:rPr>
        <w:t>.</w:t>
      </w:r>
      <w:r>
        <w:rPr>
          <w:rFonts w:hint="eastAsia" w:ascii="宋体" w:hAnsi="宋体"/>
          <w:sz w:val="28"/>
          <w:szCs w:val="28"/>
        </w:rPr>
        <w:t>一旦我方成交，我方承诺将根据谈判文件与贵方签订书面合同，并严格履行合同义务。</w:t>
      </w:r>
    </w:p>
    <w:p w14:paraId="0D1ABA92">
      <w:pPr>
        <w:spacing w:line="520" w:lineRule="exact"/>
        <w:ind w:firstLine="560" w:firstLineChars="200"/>
        <w:rPr>
          <w:rFonts w:ascii="宋体"/>
          <w:sz w:val="28"/>
          <w:szCs w:val="28"/>
        </w:rPr>
      </w:pPr>
      <w:r>
        <w:rPr>
          <w:rFonts w:ascii="宋体" w:hAnsi="宋体"/>
          <w:sz w:val="28"/>
          <w:szCs w:val="28"/>
        </w:rPr>
        <w:t>3</w:t>
      </w:r>
      <w:r>
        <w:rPr>
          <w:rFonts w:ascii="宋体"/>
          <w:sz w:val="28"/>
          <w:szCs w:val="28"/>
        </w:rPr>
        <w:t>.</w:t>
      </w:r>
      <w:r>
        <w:rPr>
          <w:rFonts w:hint="eastAsia" w:ascii="宋体" w:hAnsi="宋体"/>
          <w:sz w:val="28"/>
          <w:szCs w:val="28"/>
        </w:rPr>
        <w:t>我方指派（姓名）（身份证号码：）为我方全权代表，代表我方参加贵方本次项目的竞争性谈判活动，负责处理与本次竞争性谈判相关的一切事宜。</w:t>
      </w:r>
    </w:p>
    <w:p w14:paraId="557431D4">
      <w:pPr>
        <w:spacing w:line="520" w:lineRule="exact"/>
        <w:ind w:firstLine="560" w:firstLineChars="200"/>
        <w:rPr>
          <w:rFonts w:ascii="宋体"/>
          <w:sz w:val="28"/>
          <w:szCs w:val="28"/>
        </w:rPr>
      </w:pPr>
      <w:r>
        <w:rPr>
          <w:rFonts w:ascii="宋体" w:hAnsi="宋体"/>
          <w:sz w:val="28"/>
          <w:szCs w:val="28"/>
        </w:rPr>
        <w:t>4</w:t>
      </w:r>
      <w:r>
        <w:rPr>
          <w:rFonts w:ascii="宋体"/>
          <w:sz w:val="28"/>
          <w:szCs w:val="28"/>
        </w:rPr>
        <w:t>.</w:t>
      </w:r>
      <w:r>
        <w:rPr>
          <w:rFonts w:hint="eastAsia" w:ascii="宋体" w:hAnsi="宋体"/>
          <w:color w:val="000000"/>
          <w:sz w:val="28"/>
          <w:szCs w:val="28"/>
        </w:rPr>
        <w:t>我方决不提供虚假材料谋取成交，决不采取不正当手段诋毁、排挤其他竞价人，决不与竞争性谈判人、其它竞价人恶意串通，决不向竞争性谈判人及谈判小组进行商业贿赂。如有违反，我方无条件同意贵方不退还我方已交纳的竞争性谈判保证金，赔偿竞争性谈判人因此遭受的全部损失</w:t>
      </w:r>
      <w:r>
        <w:rPr>
          <w:rFonts w:hint="eastAsia" w:ascii="宋体" w:hAnsi="宋体"/>
          <w:sz w:val="28"/>
          <w:szCs w:val="28"/>
        </w:rPr>
        <w:t>，并接受相关管理部门的处罚。</w:t>
      </w:r>
    </w:p>
    <w:p w14:paraId="65A87418">
      <w:pPr>
        <w:spacing w:line="520" w:lineRule="exact"/>
        <w:ind w:firstLine="560" w:firstLineChars="200"/>
        <w:rPr>
          <w:rFonts w:ascii="宋体"/>
          <w:sz w:val="28"/>
          <w:szCs w:val="28"/>
        </w:rPr>
      </w:pPr>
      <w:r>
        <w:rPr>
          <w:rFonts w:ascii="宋体" w:hAnsi="宋体"/>
          <w:sz w:val="28"/>
          <w:szCs w:val="28"/>
        </w:rPr>
        <w:t>5</w:t>
      </w:r>
      <w:r>
        <w:rPr>
          <w:rFonts w:ascii="宋体"/>
          <w:sz w:val="28"/>
          <w:szCs w:val="28"/>
        </w:rPr>
        <w:t>.</w:t>
      </w:r>
      <w:r>
        <w:rPr>
          <w:rFonts w:hint="eastAsia" w:ascii="宋体" w:hAnsi="宋体"/>
          <w:sz w:val="28"/>
          <w:szCs w:val="28"/>
        </w:rPr>
        <w:t>与本申请有关的正式通讯地址为：</w:t>
      </w:r>
    </w:p>
    <w:p w14:paraId="0A7AB402">
      <w:pPr>
        <w:spacing w:line="520" w:lineRule="exact"/>
        <w:ind w:firstLine="560" w:firstLineChars="200"/>
        <w:rPr>
          <w:rFonts w:ascii="宋体"/>
          <w:sz w:val="28"/>
          <w:szCs w:val="28"/>
          <w:u w:val="single"/>
        </w:rPr>
      </w:pPr>
      <w:r>
        <w:rPr>
          <w:rFonts w:hint="eastAsia" w:ascii="宋体" w:hAnsi="宋体"/>
          <w:sz w:val="28"/>
          <w:szCs w:val="28"/>
        </w:rPr>
        <w:t>地址：</w:t>
      </w:r>
    </w:p>
    <w:p w14:paraId="20586ACC">
      <w:pPr>
        <w:spacing w:line="520" w:lineRule="exact"/>
        <w:ind w:firstLine="560" w:firstLineChars="200"/>
        <w:rPr>
          <w:rFonts w:ascii="宋体"/>
          <w:sz w:val="28"/>
          <w:szCs w:val="28"/>
          <w:u w:val="single"/>
        </w:rPr>
      </w:pPr>
      <w:r>
        <w:rPr>
          <w:rFonts w:hint="eastAsia" w:ascii="宋体" w:hAnsi="宋体"/>
          <w:sz w:val="28"/>
          <w:szCs w:val="28"/>
        </w:rPr>
        <w:t>电话：</w:t>
      </w:r>
    </w:p>
    <w:p w14:paraId="7B05E52E">
      <w:pPr>
        <w:spacing w:line="520" w:lineRule="exact"/>
        <w:ind w:firstLine="560" w:firstLineChars="200"/>
        <w:rPr>
          <w:rFonts w:ascii="宋体"/>
          <w:sz w:val="28"/>
          <w:szCs w:val="28"/>
          <w:u w:val="single"/>
        </w:rPr>
      </w:pPr>
      <w:r>
        <w:rPr>
          <w:rFonts w:hint="eastAsia" w:ascii="宋体" w:hAnsi="宋体"/>
          <w:sz w:val="28"/>
          <w:szCs w:val="28"/>
        </w:rPr>
        <w:t>传真：</w:t>
      </w:r>
    </w:p>
    <w:p w14:paraId="2C360415">
      <w:pPr>
        <w:spacing w:line="520" w:lineRule="exact"/>
        <w:ind w:firstLine="560" w:firstLineChars="200"/>
        <w:rPr>
          <w:rFonts w:ascii="宋体"/>
          <w:sz w:val="28"/>
          <w:szCs w:val="28"/>
        </w:rPr>
      </w:pPr>
      <w:r>
        <w:rPr>
          <w:rFonts w:hint="eastAsia" w:ascii="宋体" w:hAnsi="宋体"/>
          <w:sz w:val="28"/>
          <w:szCs w:val="28"/>
        </w:rPr>
        <w:t>电子邮箱：</w:t>
      </w:r>
    </w:p>
    <w:p w14:paraId="2F476289">
      <w:pPr>
        <w:spacing w:line="520" w:lineRule="exact"/>
        <w:ind w:firstLine="560" w:firstLineChars="200"/>
        <w:rPr>
          <w:rFonts w:ascii="宋体" w:hAnsi="宋体"/>
          <w:sz w:val="28"/>
          <w:szCs w:val="28"/>
          <w:u w:val="single"/>
        </w:rPr>
      </w:pPr>
      <w:r>
        <w:rPr>
          <w:rFonts w:hint="eastAsia" w:ascii="宋体" w:hAnsi="宋体"/>
          <w:sz w:val="28"/>
          <w:szCs w:val="28"/>
        </w:rPr>
        <w:t>法定代表人（签字）：</w:t>
      </w:r>
    </w:p>
    <w:p w14:paraId="609BF17E">
      <w:pPr>
        <w:spacing w:line="520" w:lineRule="exact"/>
        <w:ind w:firstLine="560" w:firstLineChars="200"/>
        <w:rPr>
          <w:rFonts w:ascii="宋体"/>
          <w:sz w:val="28"/>
          <w:szCs w:val="28"/>
        </w:rPr>
      </w:pPr>
      <w:r>
        <w:rPr>
          <w:rFonts w:hint="eastAsia" w:ascii="宋体" w:hAnsi="宋体"/>
          <w:sz w:val="28"/>
          <w:szCs w:val="28"/>
        </w:rPr>
        <w:t>竞价人（盖章）：</w:t>
      </w:r>
    </w:p>
    <w:p w14:paraId="598C52CD">
      <w:pPr>
        <w:pStyle w:val="40"/>
        <w:widowControl/>
        <w:tabs>
          <w:tab w:val="left" w:pos="426"/>
          <w:tab w:val="left" w:pos="567"/>
          <w:tab w:val="left" w:pos="709"/>
        </w:tabs>
        <w:adjustRightInd w:val="0"/>
        <w:snapToGrid w:val="0"/>
        <w:spacing w:line="440" w:lineRule="exact"/>
        <w:ind w:firstLine="560"/>
        <w:jc w:val="left"/>
        <w:rPr>
          <w:sz w:val="28"/>
          <w:szCs w:val="28"/>
        </w:rPr>
      </w:pPr>
      <w:r>
        <w:rPr>
          <w:rFonts w:hint="eastAsia"/>
          <w:sz w:val="28"/>
          <w:szCs w:val="28"/>
        </w:rPr>
        <w:t>日期：年月日</w:t>
      </w:r>
    </w:p>
    <w:p w14:paraId="77516F1E">
      <w:pPr>
        <w:pStyle w:val="40"/>
        <w:widowControl/>
        <w:tabs>
          <w:tab w:val="left" w:pos="426"/>
          <w:tab w:val="left" w:pos="567"/>
          <w:tab w:val="left" w:pos="709"/>
        </w:tabs>
        <w:adjustRightInd w:val="0"/>
        <w:snapToGrid w:val="0"/>
        <w:spacing w:line="440" w:lineRule="exact"/>
        <w:ind w:firstLine="0" w:firstLineChars="0"/>
        <w:jc w:val="left"/>
        <w:rPr>
          <w:b/>
          <w:color w:val="000000"/>
          <w:sz w:val="28"/>
          <w:szCs w:val="28"/>
        </w:rPr>
      </w:pPr>
    </w:p>
    <w:p w14:paraId="0A20BA47">
      <w:pPr>
        <w:pStyle w:val="40"/>
        <w:widowControl/>
        <w:tabs>
          <w:tab w:val="left" w:pos="426"/>
          <w:tab w:val="left" w:pos="567"/>
          <w:tab w:val="left" w:pos="709"/>
        </w:tabs>
        <w:adjustRightInd w:val="0"/>
        <w:snapToGrid w:val="0"/>
        <w:spacing w:line="440" w:lineRule="exact"/>
        <w:ind w:firstLine="0" w:firstLineChars="0"/>
        <w:jc w:val="left"/>
        <w:rPr>
          <w:b/>
          <w:color w:val="000000"/>
          <w:sz w:val="28"/>
          <w:szCs w:val="28"/>
        </w:rPr>
      </w:pPr>
    </w:p>
    <w:p w14:paraId="2496EA52">
      <w:pPr>
        <w:pStyle w:val="40"/>
        <w:widowControl/>
        <w:tabs>
          <w:tab w:val="left" w:pos="426"/>
          <w:tab w:val="left" w:pos="567"/>
          <w:tab w:val="left" w:pos="709"/>
        </w:tabs>
        <w:adjustRightInd w:val="0"/>
        <w:snapToGrid w:val="0"/>
        <w:spacing w:line="440" w:lineRule="exact"/>
        <w:ind w:firstLine="0" w:firstLineChars="0"/>
        <w:jc w:val="left"/>
        <w:rPr>
          <w:b/>
          <w:color w:val="000000"/>
          <w:sz w:val="28"/>
          <w:szCs w:val="28"/>
        </w:rPr>
      </w:pPr>
    </w:p>
    <w:p w14:paraId="4CA80BED">
      <w:pPr>
        <w:pStyle w:val="40"/>
        <w:widowControl/>
        <w:tabs>
          <w:tab w:val="left" w:pos="426"/>
          <w:tab w:val="left" w:pos="567"/>
          <w:tab w:val="left" w:pos="709"/>
        </w:tabs>
        <w:adjustRightInd w:val="0"/>
        <w:snapToGrid w:val="0"/>
        <w:spacing w:line="440" w:lineRule="exact"/>
        <w:ind w:firstLine="0" w:firstLineChars="0"/>
        <w:jc w:val="left"/>
        <w:rPr>
          <w:b/>
          <w:color w:val="000000"/>
          <w:sz w:val="28"/>
          <w:szCs w:val="28"/>
        </w:rPr>
      </w:pPr>
    </w:p>
    <w:p w14:paraId="65DE6F84">
      <w:pPr>
        <w:pStyle w:val="40"/>
        <w:widowControl/>
        <w:tabs>
          <w:tab w:val="left" w:pos="426"/>
          <w:tab w:val="left" w:pos="567"/>
          <w:tab w:val="left" w:pos="709"/>
        </w:tabs>
        <w:adjustRightInd w:val="0"/>
        <w:snapToGrid w:val="0"/>
        <w:spacing w:line="440" w:lineRule="exact"/>
        <w:ind w:firstLine="0" w:firstLineChars="0"/>
        <w:jc w:val="left"/>
        <w:rPr>
          <w:b/>
          <w:color w:val="000000"/>
          <w:sz w:val="28"/>
          <w:szCs w:val="28"/>
        </w:rPr>
      </w:pPr>
      <w:r>
        <w:rPr>
          <w:rFonts w:hint="eastAsia"/>
          <w:b/>
          <w:color w:val="000000"/>
          <w:sz w:val="28"/>
          <w:szCs w:val="28"/>
        </w:rPr>
        <w:t>附件</w:t>
      </w:r>
      <w:r>
        <w:rPr>
          <w:b/>
          <w:color w:val="000000"/>
          <w:sz w:val="28"/>
          <w:szCs w:val="28"/>
        </w:rPr>
        <w:t>3</w:t>
      </w:r>
      <w:r>
        <w:rPr>
          <w:rFonts w:hint="eastAsia"/>
          <w:b/>
          <w:color w:val="000000"/>
          <w:sz w:val="28"/>
          <w:szCs w:val="28"/>
        </w:rPr>
        <w:t>：法定代表人授权委托书</w:t>
      </w:r>
    </w:p>
    <w:p w14:paraId="216914CA">
      <w:pPr>
        <w:pStyle w:val="5"/>
        <w:adjustRightInd w:val="0"/>
        <w:snapToGrid w:val="0"/>
        <w:spacing w:line="300" w:lineRule="auto"/>
        <w:jc w:val="center"/>
        <w:rPr>
          <w:rFonts w:hAnsi="宋体"/>
          <w:b/>
          <w:sz w:val="28"/>
          <w:szCs w:val="28"/>
        </w:rPr>
      </w:pPr>
    </w:p>
    <w:p w14:paraId="574F4A32">
      <w:pPr>
        <w:pStyle w:val="5"/>
        <w:adjustRightInd w:val="0"/>
        <w:snapToGrid w:val="0"/>
        <w:spacing w:line="300" w:lineRule="auto"/>
        <w:jc w:val="center"/>
        <w:rPr>
          <w:rFonts w:hAnsi="宋体"/>
          <w:b/>
          <w:sz w:val="28"/>
          <w:szCs w:val="28"/>
        </w:rPr>
      </w:pPr>
      <w:r>
        <w:rPr>
          <w:rFonts w:hint="eastAsia" w:hAnsi="宋体"/>
          <w:b/>
          <w:sz w:val="28"/>
          <w:szCs w:val="28"/>
        </w:rPr>
        <w:t>法定代表人授权委托书</w:t>
      </w:r>
    </w:p>
    <w:p w14:paraId="17DE3E94">
      <w:pPr>
        <w:pStyle w:val="5"/>
        <w:adjustRightInd w:val="0"/>
        <w:snapToGrid w:val="0"/>
        <w:spacing w:line="300" w:lineRule="auto"/>
        <w:jc w:val="center"/>
        <w:rPr>
          <w:rFonts w:hAnsi="宋体"/>
          <w:b/>
          <w:sz w:val="28"/>
          <w:szCs w:val="28"/>
        </w:rPr>
      </w:pPr>
    </w:p>
    <w:p w14:paraId="44136225">
      <w:pPr>
        <w:pStyle w:val="5"/>
        <w:adjustRightInd w:val="0"/>
        <w:snapToGrid w:val="0"/>
        <w:spacing w:line="300" w:lineRule="auto"/>
        <w:ind w:firstLine="560" w:firstLineChars="200"/>
        <w:jc w:val="both"/>
        <w:rPr>
          <w:rFonts w:hAnsi="宋体"/>
          <w:sz w:val="28"/>
          <w:szCs w:val="28"/>
        </w:rPr>
      </w:pPr>
      <w:r>
        <w:rPr>
          <w:rFonts w:hint="eastAsia" w:hAnsi="宋体"/>
          <w:sz w:val="28"/>
          <w:szCs w:val="28"/>
        </w:rPr>
        <w:t>本授权委托书声明：我</w:t>
      </w:r>
      <w:r>
        <w:rPr>
          <w:rFonts w:hAnsi="宋体"/>
          <w:sz w:val="28"/>
          <w:szCs w:val="28"/>
        </w:rPr>
        <w:t xml:space="preserve"> (</w:t>
      </w:r>
      <w:r>
        <w:rPr>
          <w:rFonts w:hint="eastAsia" w:hAnsi="宋体"/>
          <w:sz w:val="28"/>
          <w:szCs w:val="28"/>
        </w:rPr>
        <w:t>姓名</w:t>
      </w:r>
      <w:r>
        <w:rPr>
          <w:rFonts w:hAnsi="宋体"/>
          <w:sz w:val="28"/>
          <w:szCs w:val="28"/>
        </w:rPr>
        <w:t>)</w:t>
      </w:r>
      <w:r>
        <w:rPr>
          <w:rFonts w:hint="eastAsia" w:hAnsi="宋体"/>
          <w:sz w:val="28"/>
          <w:szCs w:val="28"/>
        </w:rPr>
        <w:t>（身份证号码：）系</w:t>
      </w:r>
    </w:p>
    <w:p w14:paraId="36A90FFE">
      <w:pPr>
        <w:pStyle w:val="5"/>
        <w:adjustRightInd w:val="0"/>
        <w:snapToGrid w:val="0"/>
        <w:spacing w:line="300" w:lineRule="auto"/>
        <w:jc w:val="both"/>
        <w:rPr>
          <w:rFonts w:hAnsi="宋体"/>
          <w:sz w:val="28"/>
          <w:szCs w:val="28"/>
        </w:rPr>
      </w:pPr>
      <w:r>
        <w:rPr>
          <w:rFonts w:hAnsi="宋体"/>
          <w:sz w:val="28"/>
          <w:szCs w:val="28"/>
        </w:rPr>
        <w:t>(</w:t>
      </w:r>
      <w:r>
        <w:rPr>
          <w:rFonts w:hint="eastAsia" w:hAnsi="宋体"/>
          <w:sz w:val="28"/>
          <w:szCs w:val="28"/>
        </w:rPr>
        <w:t>竞价人名称</w:t>
      </w:r>
      <w:r>
        <w:rPr>
          <w:rFonts w:hAnsi="宋体"/>
          <w:sz w:val="28"/>
          <w:szCs w:val="28"/>
        </w:rPr>
        <w:t>)</w:t>
      </w:r>
      <w:r>
        <w:rPr>
          <w:rFonts w:hint="eastAsia" w:hAnsi="宋体"/>
          <w:sz w:val="28"/>
          <w:szCs w:val="28"/>
        </w:rPr>
        <w:t>的法定代表人，现授权委托</w:t>
      </w:r>
      <w:r>
        <w:rPr>
          <w:rFonts w:hAnsi="宋体"/>
          <w:sz w:val="28"/>
          <w:szCs w:val="28"/>
        </w:rPr>
        <w:t>(</w:t>
      </w:r>
      <w:r>
        <w:rPr>
          <w:rFonts w:hint="eastAsia" w:hAnsi="宋体"/>
          <w:sz w:val="28"/>
          <w:szCs w:val="28"/>
        </w:rPr>
        <w:t>姓名</w:t>
      </w:r>
      <w:r>
        <w:rPr>
          <w:rFonts w:hAnsi="宋体"/>
          <w:sz w:val="28"/>
          <w:szCs w:val="28"/>
        </w:rPr>
        <w:t>)</w:t>
      </w:r>
      <w:r>
        <w:rPr>
          <w:rFonts w:hint="eastAsia" w:hAnsi="宋体"/>
          <w:sz w:val="28"/>
          <w:szCs w:val="28"/>
        </w:rPr>
        <w:t>（身份证号码：）为我公司代理人，参加</w:t>
      </w:r>
      <w:r>
        <w:rPr>
          <w:rFonts w:hAnsi="宋体"/>
          <w:sz w:val="28"/>
          <w:szCs w:val="28"/>
        </w:rPr>
        <w:t>(</w:t>
      </w:r>
      <w:r>
        <w:rPr>
          <w:rFonts w:hint="eastAsia" w:hAnsi="宋体"/>
          <w:sz w:val="28"/>
          <w:szCs w:val="28"/>
        </w:rPr>
        <w:t>竞争性谈判人</w:t>
      </w:r>
      <w:r>
        <w:rPr>
          <w:rFonts w:hAnsi="宋体"/>
          <w:sz w:val="28"/>
          <w:szCs w:val="28"/>
        </w:rPr>
        <w:t>)</w:t>
      </w:r>
      <w:r>
        <w:rPr>
          <w:rFonts w:hint="eastAsia" w:hAnsi="宋体"/>
          <w:sz w:val="28"/>
          <w:szCs w:val="28"/>
        </w:rPr>
        <w:t>的竞争性谈判活动。代理人在谈判、合同签订过程中所签署的一切文件和处理与之有关的一切事务，我本人及我单位均予以承认并承担与之相关的一切法律后果。</w:t>
      </w:r>
    </w:p>
    <w:p w14:paraId="0ED741FE">
      <w:pPr>
        <w:pStyle w:val="5"/>
        <w:adjustRightInd w:val="0"/>
        <w:snapToGrid w:val="0"/>
        <w:spacing w:line="300" w:lineRule="auto"/>
        <w:rPr>
          <w:rFonts w:hAnsi="宋体"/>
          <w:sz w:val="28"/>
          <w:szCs w:val="28"/>
        </w:rPr>
      </w:pPr>
    </w:p>
    <w:p w14:paraId="730B6205">
      <w:pPr>
        <w:pStyle w:val="5"/>
        <w:adjustRightInd w:val="0"/>
        <w:snapToGrid w:val="0"/>
        <w:spacing w:line="300" w:lineRule="auto"/>
        <w:ind w:left="412"/>
        <w:rPr>
          <w:rFonts w:hAnsi="宋体"/>
          <w:sz w:val="28"/>
          <w:szCs w:val="28"/>
        </w:rPr>
      </w:pPr>
      <w:r>
        <w:rPr>
          <w:rFonts w:hint="eastAsia" w:hAnsi="宋体"/>
          <w:sz w:val="28"/>
          <w:szCs w:val="28"/>
        </w:rPr>
        <w:t>代理人无转委权。特此委托。</w:t>
      </w:r>
    </w:p>
    <w:p w14:paraId="16BC553A">
      <w:pPr>
        <w:pStyle w:val="5"/>
        <w:adjustRightInd w:val="0"/>
        <w:snapToGrid w:val="0"/>
        <w:spacing w:line="300" w:lineRule="auto"/>
        <w:ind w:left="412"/>
        <w:rPr>
          <w:rFonts w:hAnsi="宋体"/>
          <w:sz w:val="28"/>
          <w:szCs w:val="28"/>
        </w:rPr>
      </w:pPr>
      <w:r>
        <w:rPr>
          <w:rFonts w:hint="eastAsia" w:hAnsi="宋体"/>
          <w:sz w:val="28"/>
          <w:szCs w:val="28"/>
        </w:rPr>
        <w:t>代理人：性别：年龄：</w:t>
      </w:r>
    </w:p>
    <w:p w14:paraId="521E4BD7">
      <w:pPr>
        <w:pStyle w:val="5"/>
        <w:adjustRightInd w:val="0"/>
        <w:snapToGrid w:val="0"/>
        <w:spacing w:line="300" w:lineRule="auto"/>
        <w:ind w:firstLine="420"/>
        <w:rPr>
          <w:rFonts w:hAnsi="宋体"/>
          <w:sz w:val="28"/>
          <w:szCs w:val="28"/>
        </w:rPr>
      </w:pPr>
      <w:r>
        <w:rPr>
          <w:rFonts w:hint="eastAsia" w:hAnsi="宋体"/>
          <w:sz w:val="28"/>
          <w:szCs w:val="28"/>
        </w:rPr>
        <w:t>单位：部门：职务：</w:t>
      </w:r>
    </w:p>
    <w:p w14:paraId="6F5052AA">
      <w:pPr>
        <w:pStyle w:val="5"/>
        <w:adjustRightInd w:val="0"/>
        <w:snapToGrid w:val="0"/>
        <w:spacing w:line="300" w:lineRule="auto"/>
        <w:ind w:firstLine="420"/>
        <w:rPr>
          <w:rFonts w:hAnsi="宋体"/>
          <w:sz w:val="28"/>
          <w:szCs w:val="28"/>
        </w:rPr>
      </w:pPr>
      <w:r>
        <w:rPr>
          <w:rFonts w:hint="eastAsia" w:hAnsi="宋体"/>
          <w:sz w:val="28"/>
          <w:szCs w:val="28"/>
        </w:rPr>
        <w:t>竞价人：</w:t>
      </w:r>
      <w:r>
        <w:rPr>
          <w:rFonts w:hAnsi="宋体"/>
          <w:sz w:val="28"/>
          <w:szCs w:val="28"/>
        </w:rPr>
        <w:t>(</w:t>
      </w:r>
      <w:r>
        <w:rPr>
          <w:rFonts w:hint="eastAsia" w:hAnsi="宋体"/>
          <w:sz w:val="28"/>
          <w:szCs w:val="28"/>
        </w:rPr>
        <w:t>盖章</w:t>
      </w:r>
      <w:r>
        <w:rPr>
          <w:rFonts w:hAnsi="宋体"/>
          <w:sz w:val="28"/>
          <w:szCs w:val="28"/>
        </w:rPr>
        <w:t>)</w:t>
      </w:r>
    </w:p>
    <w:p w14:paraId="7780429C">
      <w:pPr>
        <w:pStyle w:val="5"/>
        <w:adjustRightInd w:val="0"/>
        <w:snapToGrid w:val="0"/>
        <w:spacing w:line="300" w:lineRule="auto"/>
        <w:ind w:firstLine="420"/>
        <w:rPr>
          <w:rFonts w:hAnsi="宋体"/>
          <w:sz w:val="28"/>
          <w:szCs w:val="28"/>
        </w:rPr>
      </w:pPr>
      <w:r>
        <w:rPr>
          <w:rFonts w:hint="eastAsia" w:hAnsi="宋体"/>
          <w:sz w:val="28"/>
          <w:szCs w:val="28"/>
        </w:rPr>
        <w:t>法定代表人：</w:t>
      </w:r>
      <w:r>
        <w:rPr>
          <w:rFonts w:hAnsi="宋体"/>
          <w:sz w:val="28"/>
          <w:szCs w:val="28"/>
        </w:rPr>
        <w:t>(</w:t>
      </w:r>
      <w:r>
        <w:rPr>
          <w:rFonts w:hint="eastAsia" w:hAnsi="宋体"/>
          <w:sz w:val="28"/>
          <w:szCs w:val="28"/>
        </w:rPr>
        <w:t>签字或盖章</w:t>
      </w:r>
      <w:r>
        <w:rPr>
          <w:rFonts w:hAnsi="宋体"/>
          <w:sz w:val="28"/>
          <w:szCs w:val="28"/>
        </w:rPr>
        <w:t>)</w:t>
      </w:r>
    </w:p>
    <w:p w14:paraId="0E884872">
      <w:pPr>
        <w:pStyle w:val="5"/>
        <w:adjustRightInd w:val="0"/>
        <w:snapToGrid w:val="0"/>
        <w:spacing w:line="300" w:lineRule="auto"/>
        <w:rPr>
          <w:rFonts w:hAnsi="宋体"/>
          <w:sz w:val="28"/>
          <w:szCs w:val="28"/>
        </w:rPr>
      </w:pPr>
    </w:p>
    <w:p w14:paraId="1D4FF4F0">
      <w:pPr>
        <w:pStyle w:val="5"/>
        <w:adjustRightInd w:val="0"/>
        <w:snapToGrid w:val="0"/>
        <w:spacing w:line="300" w:lineRule="auto"/>
        <w:jc w:val="right"/>
        <w:rPr>
          <w:rFonts w:hAnsi="宋体"/>
          <w:sz w:val="28"/>
          <w:szCs w:val="28"/>
        </w:rPr>
      </w:pPr>
      <w:r>
        <w:rPr>
          <w:rFonts w:hint="eastAsia" w:hAnsi="宋体"/>
          <w:sz w:val="28"/>
          <w:szCs w:val="28"/>
        </w:rPr>
        <w:t>日期：年月日</w:t>
      </w:r>
    </w:p>
    <w:p w14:paraId="1F746585">
      <w:pPr>
        <w:rPr>
          <w:rFonts w:ascii="黑体" w:hAnsi="宋体" w:eastAsia="黑体"/>
          <w:sz w:val="28"/>
          <w:szCs w:val="28"/>
        </w:rPr>
      </w:pPr>
    </w:p>
    <w:p w14:paraId="4F6759FC">
      <w:pPr>
        <w:jc w:val="center"/>
        <w:rPr>
          <w:rFonts w:ascii="宋体"/>
          <w:sz w:val="28"/>
          <w:szCs w:val="28"/>
        </w:rPr>
      </w:pPr>
      <w:r>
        <w:rPr>
          <w:rFonts w:hint="eastAsia" w:ascii="宋体" w:hAnsi="宋体"/>
          <w:sz w:val="28"/>
          <w:szCs w:val="28"/>
        </w:rPr>
        <w:t>（粘贴双方身份证复印件）</w:t>
      </w:r>
    </w:p>
    <w:sectPr>
      <w:headerReference r:id="rId3" w:type="default"/>
      <w:footerReference r:id="rId4" w:type="default"/>
      <w:footerReference r:id="rId5" w:type="even"/>
      <w:pgSz w:w="11906" w:h="16838"/>
      <w:pgMar w:top="567" w:right="851" w:bottom="663" w:left="85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EA018">
    <w:pPr>
      <w:pStyle w:val="9"/>
      <w:jc w:val="center"/>
    </w:pPr>
    <w:r>
      <w:fldChar w:fldCharType="begin"/>
    </w:r>
    <w:r>
      <w:instrText xml:space="preserve"> PAGE   \* MERGEFORMAT </w:instrText>
    </w:r>
    <w:r>
      <w:fldChar w:fldCharType="separate"/>
    </w:r>
    <w:r>
      <w:rPr>
        <w:lang w:val="zh-CN"/>
      </w:rPr>
      <w:t>4</w:t>
    </w:r>
    <w:r>
      <w:fldChar w:fldCharType="end"/>
    </w:r>
  </w:p>
  <w:p w14:paraId="53607DE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0A313">
    <w:pPr>
      <w:pStyle w:val="9"/>
      <w:framePr w:wrap="around" w:vAnchor="text" w:hAnchor="margin" w:xAlign="center" w:y="1"/>
      <w:rPr>
        <w:rStyle w:val="20"/>
      </w:rPr>
    </w:pPr>
    <w:r>
      <w:fldChar w:fldCharType="begin"/>
    </w:r>
    <w:r>
      <w:rPr>
        <w:rStyle w:val="20"/>
      </w:rPr>
      <w:instrText xml:space="preserve">PAGE  </w:instrText>
    </w:r>
    <w:r>
      <w:fldChar w:fldCharType="end"/>
    </w:r>
  </w:p>
  <w:p w14:paraId="420CD895">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9DED">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Q0ODUyNjNkNDczY2NkNWRkMWQyZjc1ZTBkNjZmZmUifQ=="/>
  </w:docVars>
  <w:rsids>
    <w:rsidRoot w:val="00172A27"/>
    <w:rsid w:val="00000AA8"/>
    <w:rsid w:val="00022E74"/>
    <w:rsid w:val="000D214B"/>
    <w:rsid w:val="001100DA"/>
    <w:rsid w:val="00114399"/>
    <w:rsid w:val="0015244C"/>
    <w:rsid w:val="00172A27"/>
    <w:rsid w:val="001824FD"/>
    <w:rsid w:val="00187F89"/>
    <w:rsid w:val="001D5E17"/>
    <w:rsid w:val="001E029A"/>
    <w:rsid w:val="001E6D74"/>
    <w:rsid w:val="001F6DD1"/>
    <w:rsid w:val="00230624"/>
    <w:rsid w:val="002420EB"/>
    <w:rsid w:val="0026015C"/>
    <w:rsid w:val="002E533A"/>
    <w:rsid w:val="0039199A"/>
    <w:rsid w:val="003A7BEC"/>
    <w:rsid w:val="00472D78"/>
    <w:rsid w:val="005168DA"/>
    <w:rsid w:val="005E5D5F"/>
    <w:rsid w:val="0075671E"/>
    <w:rsid w:val="007D435E"/>
    <w:rsid w:val="00852739"/>
    <w:rsid w:val="0085612A"/>
    <w:rsid w:val="0087375E"/>
    <w:rsid w:val="008B429B"/>
    <w:rsid w:val="008D6585"/>
    <w:rsid w:val="009050BD"/>
    <w:rsid w:val="0091124D"/>
    <w:rsid w:val="00930322"/>
    <w:rsid w:val="009542B6"/>
    <w:rsid w:val="00A00673"/>
    <w:rsid w:val="00A75916"/>
    <w:rsid w:val="00A76696"/>
    <w:rsid w:val="00B011E6"/>
    <w:rsid w:val="00B670E7"/>
    <w:rsid w:val="00C14B36"/>
    <w:rsid w:val="00CE5066"/>
    <w:rsid w:val="00CF1EBA"/>
    <w:rsid w:val="00D40922"/>
    <w:rsid w:val="00DA4734"/>
    <w:rsid w:val="00DE01A9"/>
    <w:rsid w:val="00E27BA1"/>
    <w:rsid w:val="00E622F4"/>
    <w:rsid w:val="00F127C1"/>
    <w:rsid w:val="00F8310A"/>
    <w:rsid w:val="00F9246C"/>
    <w:rsid w:val="00FC1BF0"/>
    <w:rsid w:val="09D56F8D"/>
    <w:rsid w:val="09E12050"/>
    <w:rsid w:val="179601F5"/>
    <w:rsid w:val="18D85D59"/>
    <w:rsid w:val="1EA53B2B"/>
    <w:rsid w:val="200A0CA6"/>
    <w:rsid w:val="23711FEF"/>
    <w:rsid w:val="24977834"/>
    <w:rsid w:val="28485079"/>
    <w:rsid w:val="2B086A73"/>
    <w:rsid w:val="2B5D3585"/>
    <w:rsid w:val="2BA81128"/>
    <w:rsid w:val="2DCF1479"/>
    <w:rsid w:val="303E14AB"/>
    <w:rsid w:val="3121383F"/>
    <w:rsid w:val="31426D6B"/>
    <w:rsid w:val="34FF745B"/>
    <w:rsid w:val="36AD248C"/>
    <w:rsid w:val="389425B0"/>
    <w:rsid w:val="3A26548A"/>
    <w:rsid w:val="3D336A61"/>
    <w:rsid w:val="3D935CEE"/>
    <w:rsid w:val="3F990CB6"/>
    <w:rsid w:val="40E13EB9"/>
    <w:rsid w:val="42730B16"/>
    <w:rsid w:val="434F5A51"/>
    <w:rsid w:val="467852BF"/>
    <w:rsid w:val="48986993"/>
    <w:rsid w:val="489F6B33"/>
    <w:rsid w:val="4AA12504"/>
    <w:rsid w:val="4FA93D18"/>
    <w:rsid w:val="56DD3D7D"/>
    <w:rsid w:val="57C40364"/>
    <w:rsid w:val="5A845A25"/>
    <w:rsid w:val="5A96253D"/>
    <w:rsid w:val="5ABD1D88"/>
    <w:rsid w:val="5B4A6DD2"/>
    <w:rsid w:val="5DE82BFF"/>
    <w:rsid w:val="5DFD720B"/>
    <w:rsid w:val="5FB16FA3"/>
    <w:rsid w:val="6098238E"/>
    <w:rsid w:val="6194148F"/>
    <w:rsid w:val="62074A10"/>
    <w:rsid w:val="63C82F8A"/>
    <w:rsid w:val="645528EE"/>
    <w:rsid w:val="64D04E99"/>
    <w:rsid w:val="66C67529"/>
    <w:rsid w:val="67395F4D"/>
    <w:rsid w:val="683E0A06"/>
    <w:rsid w:val="69385059"/>
    <w:rsid w:val="694A536C"/>
    <w:rsid w:val="6A2509A3"/>
    <w:rsid w:val="734B3290"/>
    <w:rsid w:val="73906A85"/>
    <w:rsid w:val="747B7BA5"/>
    <w:rsid w:val="763D575F"/>
    <w:rsid w:val="777D549B"/>
    <w:rsid w:val="78DC77D5"/>
    <w:rsid w:val="7B016683"/>
    <w:rsid w:val="7B0F1047"/>
    <w:rsid w:val="7C6453C2"/>
    <w:rsid w:val="7CB15C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23"/>
    <w:qFormat/>
    <w:uiPriority w:val="0"/>
    <w:pPr>
      <w:widowControl/>
      <w:spacing w:before="100" w:beforeAutospacing="1" w:after="100" w:afterAutospacing="1"/>
      <w:jc w:val="left"/>
      <w:outlineLvl w:val="0"/>
    </w:pPr>
    <w:rPr>
      <w:b/>
      <w:kern w:val="44"/>
      <w:sz w:val="4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autoRedefine/>
    <w:qFormat/>
    <w:uiPriority w:val="0"/>
    <w:pPr>
      <w:jc w:val="left"/>
    </w:pPr>
    <w:rPr>
      <w:sz w:val="24"/>
    </w:rPr>
  </w:style>
  <w:style w:type="paragraph" w:styleId="4">
    <w:name w:val="Body Text"/>
    <w:basedOn w:val="1"/>
    <w:next w:val="1"/>
    <w:unhideWhenUsed/>
    <w:qFormat/>
    <w:uiPriority w:val="0"/>
    <w:pPr>
      <w:spacing w:after="120"/>
    </w:pPr>
    <w:rPr>
      <w:szCs w:val="22"/>
    </w:rPr>
  </w:style>
  <w:style w:type="paragraph" w:styleId="5">
    <w:name w:val="Plain Text"/>
    <w:basedOn w:val="1"/>
    <w:link w:val="25"/>
    <w:autoRedefine/>
    <w:qFormat/>
    <w:uiPriority w:val="0"/>
    <w:pPr>
      <w:jc w:val="left"/>
    </w:pPr>
    <w:rPr>
      <w:rFonts w:ascii="Calibri" w:hAnsi="Courier New"/>
    </w:rPr>
  </w:style>
  <w:style w:type="paragraph" w:styleId="6">
    <w:name w:val="Date"/>
    <w:basedOn w:val="1"/>
    <w:next w:val="1"/>
    <w:link w:val="26"/>
    <w:autoRedefine/>
    <w:qFormat/>
    <w:uiPriority w:val="0"/>
    <w:rPr>
      <w:sz w:val="28"/>
    </w:rPr>
  </w:style>
  <w:style w:type="paragraph" w:styleId="7">
    <w:name w:val="Body Text Indent 2"/>
    <w:basedOn w:val="1"/>
    <w:link w:val="27"/>
    <w:autoRedefine/>
    <w:qFormat/>
    <w:uiPriority w:val="0"/>
    <w:pPr>
      <w:ind w:firstLine="592" w:firstLineChars="200"/>
    </w:pPr>
    <w:rPr>
      <w:rFonts w:eastAsia="仿宋_GB2312"/>
      <w:sz w:val="24"/>
    </w:rPr>
  </w:style>
  <w:style w:type="paragraph" w:styleId="8">
    <w:name w:val="Balloon Text"/>
    <w:basedOn w:val="1"/>
    <w:link w:val="28"/>
    <w:autoRedefine/>
    <w:qFormat/>
    <w:uiPriority w:val="0"/>
    <w:rPr>
      <w:sz w:val="18"/>
    </w:rPr>
  </w:style>
  <w:style w:type="paragraph" w:styleId="9">
    <w:name w:val="footer"/>
    <w:basedOn w:val="1"/>
    <w:link w:val="29"/>
    <w:qFormat/>
    <w:uiPriority w:val="0"/>
    <w:pPr>
      <w:tabs>
        <w:tab w:val="center" w:pos="4153"/>
        <w:tab w:val="right" w:pos="8306"/>
      </w:tabs>
      <w:snapToGrid w:val="0"/>
      <w:jc w:val="left"/>
    </w:pPr>
    <w:rPr>
      <w:sz w:val="18"/>
    </w:rPr>
  </w:style>
  <w:style w:type="paragraph" w:styleId="10">
    <w:name w:val="header"/>
    <w:basedOn w:val="1"/>
    <w:link w:val="30"/>
    <w:autoRedefine/>
    <w:qFormat/>
    <w:uiPriority w:val="0"/>
    <w:pPr>
      <w:pBdr>
        <w:bottom w:val="single" w:color="auto" w:sz="6" w:space="1"/>
      </w:pBdr>
      <w:tabs>
        <w:tab w:val="center" w:pos="4153"/>
        <w:tab w:val="right" w:pos="8306"/>
      </w:tabs>
      <w:snapToGrid w:val="0"/>
      <w:jc w:val="center"/>
    </w:pPr>
    <w:rPr>
      <w:sz w:val="18"/>
    </w:rPr>
  </w:style>
  <w:style w:type="paragraph" w:styleId="11">
    <w:name w:val="Body Text Indent 3"/>
    <w:basedOn w:val="1"/>
    <w:link w:val="31"/>
    <w:autoRedefine/>
    <w:qFormat/>
    <w:uiPriority w:val="0"/>
    <w:pPr>
      <w:spacing w:line="460" w:lineRule="exact"/>
      <w:ind w:firstLine="472" w:firstLineChars="200"/>
    </w:pPr>
    <w:rPr>
      <w:rFonts w:eastAsia="仿宋_GB2312"/>
      <w:sz w:val="24"/>
    </w:rPr>
  </w:style>
  <w:style w:type="paragraph" w:styleId="12">
    <w:name w:val="HTML Preformatted"/>
    <w:basedOn w:val="1"/>
    <w:link w:val="3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rPr>
  </w:style>
  <w:style w:type="paragraph" w:styleId="13">
    <w:name w:val="Normal (Web)"/>
    <w:basedOn w:val="1"/>
    <w:autoRedefine/>
    <w:qFormat/>
    <w:uiPriority w:val="0"/>
    <w:pPr>
      <w:widowControl/>
      <w:spacing w:after="250"/>
      <w:jc w:val="left"/>
    </w:pPr>
    <w:rPr>
      <w:rFonts w:ascii="宋体" w:hAnsi="宋体" w:cs="宋体"/>
      <w:kern w:val="0"/>
      <w:sz w:val="24"/>
    </w:rPr>
  </w:style>
  <w:style w:type="paragraph" w:styleId="14">
    <w:name w:val="Title"/>
    <w:basedOn w:val="1"/>
    <w:next w:val="1"/>
    <w:link w:val="33"/>
    <w:autoRedefine/>
    <w:qFormat/>
    <w:uiPriority w:val="0"/>
    <w:pPr>
      <w:spacing w:before="240" w:after="60"/>
      <w:jc w:val="center"/>
      <w:outlineLvl w:val="0"/>
    </w:pPr>
    <w:rPr>
      <w:rFonts w:ascii="Cambria" w:hAnsi="Cambria"/>
      <w:b/>
      <w:sz w:val="32"/>
    </w:rPr>
  </w:style>
  <w:style w:type="paragraph" w:styleId="15">
    <w:name w:val="annotation subject"/>
    <w:basedOn w:val="3"/>
    <w:next w:val="3"/>
    <w:link w:val="34"/>
    <w:qFormat/>
    <w:uiPriority w:val="0"/>
    <w:rPr>
      <w:b/>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autoRedefine/>
    <w:qFormat/>
    <w:uiPriority w:val="0"/>
    <w:rPr>
      <w:b/>
    </w:rPr>
  </w:style>
  <w:style w:type="character" w:styleId="20">
    <w:name w:val="page number"/>
    <w:qFormat/>
    <w:uiPriority w:val="0"/>
    <w:rPr>
      <w:rFonts w:cs="Times New Roman"/>
    </w:rPr>
  </w:style>
  <w:style w:type="character" w:styleId="21">
    <w:name w:val="Hyperlink"/>
    <w:qFormat/>
    <w:uiPriority w:val="0"/>
    <w:rPr>
      <w:color w:val="0000FF"/>
      <w:u w:val="single"/>
    </w:rPr>
  </w:style>
  <w:style w:type="character" w:styleId="22">
    <w:name w:val="annotation reference"/>
    <w:autoRedefine/>
    <w:qFormat/>
    <w:uiPriority w:val="0"/>
    <w:rPr>
      <w:sz w:val="21"/>
    </w:rPr>
  </w:style>
  <w:style w:type="character" w:customStyle="1" w:styleId="23">
    <w:name w:val="标题 1 字符"/>
    <w:link w:val="2"/>
    <w:qFormat/>
    <w:uiPriority w:val="0"/>
    <w:rPr>
      <w:b/>
      <w:kern w:val="44"/>
      <w:sz w:val="44"/>
    </w:rPr>
  </w:style>
  <w:style w:type="character" w:customStyle="1" w:styleId="24">
    <w:name w:val="批注文字 字符"/>
    <w:link w:val="3"/>
    <w:autoRedefine/>
    <w:qFormat/>
    <w:uiPriority w:val="0"/>
    <w:rPr>
      <w:kern w:val="2"/>
      <w:sz w:val="24"/>
    </w:rPr>
  </w:style>
  <w:style w:type="character" w:customStyle="1" w:styleId="25">
    <w:name w:val="纯文本 字符"/>
    <w:link w:val="5"/>
    <w:qFormat/>
    <w:uiPriority w:val="0"/>
    <w:rPr>
      <w:rFonts w:ascii="Calibri" w:hAnsi="Courier New"/>
      <w:sz w:val="21"/>
    </w:rPr>
  </w:style>
  <w:style w:type="character" w:customStyle="1" w:styleId="26">
    <w:name w:val="日期 字符"/>
    <w:link w:val="6"/>
    <w:qFormat/>
    <w:uiPriority w:val="0"/>
    <w:rPr>
      <w:rFonts w:ascii="Times New Roman" w:hAnsi="Times New Roman"/>
      <w:kern w:val="2"/>
      <w:sz w:val="28"/>
    </w:rPr>
  </w:style>
  <w:style w:type="character" w:customStyle="1" w:styleId="27">
    <w:name w:val="正文文本缩进 2 字符"/>
    <w:link w:val="7"/>
    <w:qFormat/>
    <w:uiPriority w:val="0"/>
    <w:rPr>
      <w:rFonts w:ascii="Times New Roman" w:hAnsi="Times New Roman" w:eastAsia="仿宋_GB2312"/>
      <w:kern w:val="2"/>
      <w:sz w:val="24"/>
    </w:rPr>
  </w:style>
  <w:style w:type="character" w:customStyle="1" w:styleId="28">
    <w:name w:val="批注框文本 字符"/>
    <w:link w:val="8"/>
    <w:qFormat/>
    <w:uiPriority w:val="0"/>
    <w:rPr>
      <w:kern w:val="2"/>
      <w:sz w:val="18"/>
    </w:rPr>
  </w:style>
  <w:style w:type="character" w:customStyle="1" w:styleId="29">
    <w:name w:val="页脚 字符"/>
    <w:link w:val="9"/>
    <w:qFormat/>
    <w:uiPriority w:val="0"/>
    <w:rPr>
      <w:sz w:val="18"/>
    </w:rPr>
  </w:style>
  <w:style w:type="character" w:customStyle="1" w:styleId="30">
    <w:name w:val="页眉 字符"/>
    <w:link w:val="10"/>
    <w:autoRedefine/>
    <w:qFormat/>
    <w:uiPriority w:val="0"/>
    <w:rPr>
      <w:sz w:val="18"/>
    </w:rPr>
  </w:style>
  <w:style w:type="character" w:customStyle="1" w:styleId="31">
    <w:name w:val="正文文本缩进 3 字符"/>
    <w:link w:val="11"/>
    <w:qFormat/>
    <w:uiPriority w:val="0"/>
    <w:rPr>
      <w:rFonts w:ascii="Times New Roman" w:hAnsi="Times New Roman" w:eastAsia="仿宋_GB2312"/>
      <w:kern w:val="2"/>
      <w:sz w:val="24"/>
    </w:rPr>
  </w:style>
  <w:style w:type="character" w:customStyle="1" w:styleId="32">
    <w:name w:val="HTML 预设格式 字符"/>
    <w:link w:val="12"/>
    <w:qFormat/>
    <w:uiPriority w:val="0"/>
    <w:rPr>
      <w:rFonts w:ascii="Courier New" w:hAnsi="Courier New"/>
      <w:kern w:val="2"/>
    </w:rPr>
  </w:style>
  <w:style w:type="character" w:customStyle="1" w:styleId="33">
    <w:name w:val="标题 字符"/>
    <w:link w:val="14"/>
    <w:qFormat/>
    <w:uiPriority w:val="0"/>
    <w:rPr>
      <w:rFonts w:ascii="Cambria" w:hAnsi="Cambria"/>
      <w:b/>
      <w:kern w:val="2"/>
      <w:sz w:val="32"/>
    </w:rPr>
  </w:style>
  <w:style w:type="character" w:customStyle="1" w:styleId="34">
    <w:name w:val="批注主题 字符"/>
    <w:link w:val="15"/>
    <w:qFormat/>
    <w:uiPriority w:val="0"/>
    <w:rPr>
      <w:b/>
      <w:kern w:val="2"/>
      <w:sz w:val="24"/>
    </w:rPr>
  </w:style>
  <w:style w:type="character" w:customStyle="1" w:styleId="35">
    <w:name w:val="apple-style-span"/>
    <w:qFormat/>
    <w:uiPriority w:val="0"/>
  </w:style>
  <w:style w:type="character" w:customStyle="1" w:styleId="36">
    <w:name w:val="text11"/>
    <w:qFormat/>
    <w:uiPriority w:val="0"/>
    <w:rPr>
      <w:rFonts w:ascii="Verdana" w:hAnsi="Verdana"/>
      <w:color w:val="4E4E4E"/>
      <w:sz w:val="18"/>
    </w:rPr>
  </w:style>
  <w:style w:type="character" w:customStyle="1" w:styleId="37">
    <w:name w:val="font31"/>
    <w:qFormat/>
    <w:uiPriority w:val="0"/>
    <w:rPr>
      <w:rFonts w:ascii="宋体" w:hAnsi="宋体" w:eastAsia="宋体"/>
      <w:color w:val="FF0000"/>
      <w:sz w:val="20"/>
      <w:u w:val="none"/>
    </w:rPr>
  </w:style>
  <w:style w:type="character" w:customStyle="1" w:styleId="38">
    <w:name w:val="Header Char2"/>
    <w:qFormat/>
    <w:uiPriority w:val="0"/>
    <w:rPr>
      <w:sz w:val="18"/>
    </w:rPr>
  </w:style>
  <w:style w:type="character" w:customStyle="1" w:styleId="39">
    <w:name w:val="List Paragraph Char"/>
    <w:link w:val="40"/>
    <w:qFormat/>
    <w:uiPriority w:val="0"/>
    <w:rPr>
      <w:rFonts w:ascii="宋体" w:hAnsi="宋体" w:eastAsia="宋体"/>
    </w:rPr>
  </w:style>
  <w:style w:type="paragraph" w:customStyle="1" w:styleId="40">
    <w:name w:val="List Paragraph1"/>
    <w:basedOn w:val="1"/>
    <w:link w:val="39"/>
    <w:qFormat/>
    <w:uiPriority w:val="0"/>
    <w:pPr>
      <w:ind w:firstLine="420" w:firstLineChars="200"/>
    </w:pPr>
    <w:rPr>
      <w:rFonts w:ascii="宋体" w:hAnsi="宋体"/>
    </w:rPr>
  </w:style>
  <w:style w:type="character" w:customStyle="1" w:styleId="41">
    <w:name w:val="font01"/>
    <w:qFormat/>
    <w:uiPriority w:val="0"/>
    <w:rPr>
      <w:rFonts w:ascii="宋体" w:hAnsi="宋体" w:eastAsia="宋体"/>
      <w:color w:val="000000"/>
      <w:sz w:val="20"/>
      <w:u w:val="none"/>
    </w:rPr>
  </w:style>
  <w:style w:type="character" w:customStyle="1" w:styleId="42">
    <w:name w:val="页脚 Char1"/>
    <w:autoRedefine/>
    <w:qFormat/>
    <w:uiPriority w:val="0"/>
    <w:rPr>
      <w:sz w:val="18"/>
    </w:rPr>
  </w:style>
  <w:style w:type="character" w:customStyle="1" w:styleId="43">
    <w:name w:val="Header Char"/>
    <w:qFormat/>
    <w:uiPriority w:val="0"/>
    <w:rPr>
      <w:kern w:val="2"/>
      <w:sz w:val="18"/>
    </w:rPr>
  </w:style>
  <w:style w:type="character" w:customStyle="1" w:styleId="44">
    <w:name w:val="font11"/>
    <w:qFormat/>
    <w:uiPriority w:val="0"/>
    <w:rPr>
      <w:rFonts w:ascii="宋体" w:hAnsi="宋体" w:eastAsia="宋体"/>
      <w:color w:val="000000"/>
      <w:sz w:val="20"/>
      <w:u w:val="none"/>
    </w:rPr>
  </w:style>
  <w:style w:type="paragraph" w:customStyle="1" w:styleId="45">
    <w:name w:val="正文 New New New New New New New New New"/>
    <w:autoRedefine/>
    <w:qFormat/>
    <w:uiPriority w:val="0"/>
    <w:pPr>
      <w:widowControl w:val="0"/>
      <w:spacing w:line="360" w:lineRule="auto"/>
      <w:ind w:firstLine="720" w:firstLineChars="200"/>
      <w:jc w:val="both"/>
    </w:pPr>
    <w:rPr>
      <w:rFonts w:ascii="Times New Roman" w:hAnsi="Times New Roman" w:eastAsia="宋体" w:cs="Times New Roman"/>
      <w:kern w:val="2"/>
      <w:sz w:val="24"/>
      <w:lang w:val="en-US" w:eastAsia="zh-CN" w:bidi="ar-SA"/>
    </w:rPr>
  </w:style>
  <w:style w:type="paragraph" w:customStyle="1" w:styleId="46">
    <w:name w:val="页脚1"/>
    <w:basedOn w:val="1"/>
    <w:next w:val="9"/>
    <w:qFormat/>
    <w:uiPriority w:val="0"/>
    <w:pPr>
      <w:tabs>
        <w:tab w:val="center" w:pos="4153"/>
        <w:tab w:val="right" w:pos="8306"/>
      </w:tabs>
      <w:snapToGrid w:val="0"/>
      <w:jc w:val="left"/>
    </w:pPr>
    <w:rPr>
      <w:rFonts w:ascii="等线" w:hAnsi="等线" w:eastAsia="等线"/>
      <w:sz w:val="18"/>
      <w:szCs w:val="18"/>
    </w:rPr>
  </w:style>
  <w:style w:type="paragraph" w:customStyle="1" w:styleId="47">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48">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9">
    <w:name w:val="列出段落1"/>
    <w:basedOn w:val="1"/>
    <w:autoRedefine/>
    <w:qFormat/>
    <w:uiPriority w:val="0"/>
    <w:pPr>
      <w:ind w:firstLine="420" w:firstLineChars="200"/>
    </w:pPr>
    <w:rPr>
      <w:sz w:val="28"/>
      <w:szCs w:val="28"/>
    </w:rPr>
  </w:style>
  <w:style w:type="paragraph" w:customStyle="1" w:styleId="50">
    <w:name w:val="正文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_Style 48"/>
    <w:autoRedefine/>
    <w:qFormat/>
    <w:uiPriority w:val="0"/>
    <w:rPr>
      <w:rFonts w:ascii="Times New Roman" w:hAnsi="Times New Roman" w:eastAsia="宋体" w:cs="Times New Roman"/>
      <w:kern w:val="2"/>
      <w:sz w:val="21"/>
      <w:szCs w:val="24"/>
      <w:lang w:val="en-US" w:eastAsia="zh-CN" w:bidi="ar-SA"/>
    </w:rPr>
  </w:style>
  <w:style w:type="paragraph" w:customStyle="1" w:styleId="52">
    <w:name w:val="文档正文"/>
    <w:basedOn w:val="1"/>
    <w:autoRedefine/>
    <w:qFormat/>
    <w:uiPriority w:val="0"/>
    <w:pPr>
      <w:spacing w:line="240" w:lineRule="atLeast"/>
      <w:ind w:firstLine="592" w:firstLineChars="200"/>
      <w:jc w:val="center"/>
    </w:pPr>
    <w:rPr>
      <w:rFonts w:ascii="仿宋_GB2312" w:hAnsi="Arial" w:eastAsia="仿宋_GB2312"/>
      <w:bCs/>
      <w:sz w:val="32"/>
      <w:szCs w:val="21"/>
    </w:rPr>
  </w:style>
  <w:style w:type="paragraph" w:customStyle="1" w:styleId="53">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54">
    <w:name w:val="正文 New New New New New New New New New New"/>
    <w:autoRedefine/>
    <w:qFormat/>
    <w:uiPriority w:val="0"/>
    <w:pPr>
      <w:widowControl w:val="0"/>
      <w:spacing w:line="360" w:lineRule="auto"/>
      <w:ind w:firstLine="720" w:firstLineChars="200"/>
      <w:jc w:val="both"/>
    </w:pPr>
    <w:rPr>
      <w:rFonts w:ascii="Times New Roman" w:hAnsi="Times New Roman" w:eastAsia="宋体" w:cs="Times New Roman"/>
      <w:kern w:val="2"/>
      <w:sz w:val="24"/>
      <w:lang w:val="en-US" w:eastAsia="zh-CN" w:bidi="ar-SA"/>
    </w:rPr>
  </w:style>
  <w:style w:type="paragraph" w:customStyle="1" w:styleId="55">
    <w:name w:val="正文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6">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7">
    <w:name w:val="List Paragraph"/>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26</Pages>
  <Words>12098</Words>
  <Characters>12443</Characters>
  <Lines>98</Lines>
  <Paragraphs>27</Paragraphs>
  <TotalTime>24</TotalTime>
  <ScaleCrop>false</ScaleCrop>
  <LinksUpToDate>false</LinksUpToDate>
  <CharactersWithSpaces>12499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2024-03-21T04:26:00Z</dcterms:created>
  <dc:creator>微软用户</dc:creator>
  <cp:lastModifiedBy>旧巷</cp:lastModifiedBy>
  <cp:lastPrinted>2021-06-30T09:03:00Z</cp:lastPrinted>
  <dcterms:modified xsi:type="dcterms:W3CDTF">2026-03-05T02:28:06Z</dcterms:modified>
  <dc:title>西南大学育才学院招标文件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6246A7DCBADA4601A647B38AE58C4028_13</vt:lpwstr>
  </property>
  <property fmtid="{D5CDD505-2E9C-101B-9397-08002B2CF9AE}" pid="4" name="KSOTemplateDocerSaveRecord">
    <vt:lpwstr>eyJoZGlkIjoiNTgxYmM0Y2FiZDA0YzM4Y2Q3M2VmMmQ2YmFjY2U0MDQiLCJ1c2VySWQiOiIyMDk2NjA0NTUifQ==</vt:lpwstr>
  </property>
</Properties>
</file>